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87" w:rsidRPr="00E17887" w:rsidRDefault="00D51972" w:rsidP="0028342E">
      <w:pPr>
        <w:spacing w:after="0" w:line="240" w:lineRule="auto"/>
        <w:jc w:val="center"/>
        <w:rPr>
          <w:rFonts w:asciiTheme="minorBidi" w:eastAsia="Times New Roman" w:hAnsiTheme="minorBidi"/>
          <w:sz w:val="20"/>
          <w:szCs w:val="28"/>
          <w:rtl/>
        </w:rPr>
      </w:pPr>
      <w:r>
        <w:rPr>
          <w:rFonts w:ascii="Arial" w:eastAsia="Times New Roman" w:hAnsi="Arial" w:cs="Simple Bold Jut Out" w:hint="cs"/>
          <w:sz w:val="36"/>
          <w:szCs w:val="36"/>
          <w:rtl/>
        </w:rPr>
        <w:t>المحاضرة3</w:t>
      </w:r>
      <w:r w:rsidR="0028342E">
        <w:rPr>
          <w:rFonts w:ascii="Arial" w:eastAsia="Times New Roman" w:hAnsi="Arial" w:cs="Simple Bold Jut Out" w:hint="cs"/>
          <w:sz w:val="36"/>
          <w:szCs w:val="36"/>
          <w:rtl/>
        </w:rPr>
        <w:t>6</w:t>
      </w:r>
    </w:p>
    <w:p w:rsidR="0028342E" w:rsidRPr="0028342E" w:rsidRDefault="0028342E" w:rsidP="0028342E">
      <w:pPr>
        <w:spacing w:after="0" w:line="240" w:lineRule="auto"/>
        <w:ind w:left="282" w:hanging="282"/>
        <w:jc w:val="lowKashida"/>
        <w:rPr>
          <w:rFonts w:asciiTheme="minorBidi" w:eastAsia="Times New Roman" w:hAnsiTheme="minorBidi"/>
          <w:sz w:val="28"/>
          <w:szCs w:val="28"/>
          <w:rtl/>
        </w:rPr>
      </w:pPr>
    </w:p>
    <w:p w:rsidR="004D6F14" w:rsidRPr="004D6F14" w:rsidRDefault="004D6F14" w:rsidP="004D6F14">
      <w:pPr>
        <w:keepNext/>
        <w:spacing w:after="0" w:line="240" w:lineRule="auto"/>
        <w:jc w:val="center"/>
        <w:outlineLvl w:val="6"/>
        <w:rPr>
          <w:rFonts w:ascii="Times New Roman" w:eastAsia="Times New Roman" w:hAnsi="Times New Roman" w:cs="PT Bold Heading"/>
          <w:b/>
          <w:bCs/>
          <w:sz w:val="40"/>
          <w:szCs w:val="40"/>
          <w:rtl/>
        </w:rPr>
      </w:pPr>
      <w:r w:rsidRPr="004D6F14">
        <w:rPr>
          <w:rFonts w:ascii="Times New Roman" w:eastAsia="Times New Roman" w:hAnsi="Times New Roman" w:cs="PT Bold Heading"/>
          <w:b/>
          <w:bCs/>
          <w:sz w:val="40"/>
          <w:szCs w:val="40"/>
          <w:rtl/>
        </w:rPr>
        <w:t>الخبرة</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قد تتطلب بعض اجراءات التحقيق الاستعانة بذوي الخبرة من اجل الوقوف على حقيقة الامر مما يساعد في ظهور الحقيقة بالسرعة المطلوبة ، ولهذا لابد من تمتع المتهم بالضمانات التي تمنع المساس </w:t>
      </w:r>
      <w:r w:rsidRPr="004D6F14">
        <w:rPr>
          <w:rFonts w:asciiTheme="minorBidi" w:eastAsia="Times New Roman" w:hAnsiTheme="minorBidi" w:hint="cs"/>
          <w:sz w:val="28"/>
          <w:szCs w:val="28"/>
          <w:rtl/>
        </w:rPr>
        <w:t>بحقوقه وحرياته وتوفر له الضمانات المطلوبة ومنها</w:t>
      </w:r>
      <w:r w:rsidRPr="004D6F14">
        <w:rPr>
          <w:rFonts w:asciiTheme="minorBidi" w:eastAsia="Times New Roman" w:hAnsiTheme="minorBidi"/>
          <w:sz w:val="28"/>
          <w:szCs w:val="28"/>
          <w:rtl/>
        </w:rPr>
        <w:t xml:space="preserve"> الاستعانة بذوي الخبرة </w:t>
      </w:r>
      <w:r w:rsidRPr="004D6F14">
        <w:rPr>
          <w:rFonts w:asciiTheme="minorBidi" w:eastAsia="Times New Roman" w:hAnsiTheme="minorBidi" w:hint="cs"/>
          <w:sz w:val="28"/>
          <w:szCs w:val="28"/>
          <w:rtl/>
        </w:rPr>
        <w:t>والاختصاص  لإبداء الرأي الفني في قضية ما لها ارتباط وثيق بالقضية موضوع التحقيق من قبل السلطات التحقيقية المختصة</w:t>
      </w:r>
      <w:r w:rsidRPr="004D6F14">
        <w:rPr>
          <w:rFonts w:asciiTheme="minorBidi" w:eastAsia="Times New Roman" w:hAnsiTheme="minorBidi"/>
          <w:sz w:val="28"/>
          <w:szCs w:val="28"/>
          <w:rtl/>
        </w:rPr>
        <w:t>.</w:t>
      </w:r>
    </w:p>
    <w:p w:rsidR="004D6F14" w:rsidRPr="004D6F14" w:rsidRDefault="004D6F14" w:rsidP="004D6F14">
      <w:pPr>
        <w:spacing w:after="0" w:line="240" w:lineRule="auto"/>
        <w:ind w:firstLine="565"/>
        <w:jc w:val="center"/>
        <w:rPr>
          <w:rFonts w:asciiTheme="minorBidi" w:eastAsia="Times New Roman" w:hAnsiTheme="minorBidi" w:cs="PT Bold Heading"/>
          <w:sz w:val="36"/>
          <w:szCs w:val="36"/>
          <w:rtl/>
        </w:rPr>
      </w:pPr>
    </w:p>
    <w:p w:rsidR="004D6F14" w:rsidRPr="004D6F14" w:rsidRDefault="004D6F14" w:rsidP="004D6F14">
      <w:pPr>
        <w:spacing w:after="0" w:line="240" w:lineRule="auto"/>
        <w:ind w:firstLine="565"/>
        <w:jc w:val="center"/>
        <w:rPr>
          <w:rFonts w:asciiTheme="minorBidi" w:eastAsia="Times New Roman" w:hAnsiTheme="minorBidi" w:cs="PT Bold Heading"/>
          <w:sz w:val="36"/>
          <w:szCs w:val="36"/>
          <w:rtl/>
        </w:rPr>
      </w:pPr>
      <w:r w:rsidRPr="004D6F14">
        <w:rPr>
          <w:rFonts w:asciiTheme="minorBidi" w:eastAsia="Times New Roman" w:hAnsiTheme="minorBidi" w:cs="PT Bold Heading" w:hint="cs"/>
          <w:sz w:val="36"/>
          <w:szCs w:val="36"/>
          <w:rtl/>
        </w:rPr>
        <w:t>الفرع الاول</w:t>
      </w:r>
    </w:p>
    <w:p w:rsidR="004D6F14" w:rsidRPr="004D6F14" w:rsidRDefault="004D6F14" w:rsidP="004D6F14">
      <w:pPr>
        <w:spacing w:after="0" w:line="240" w:lineRule="auto"/>
        <w:ind w:firstLine="565"/>
        <w:jc w:val="center"/>
        <w:rPr>
          <w:rFonts w:asciiTheme="minorBidi" w:eastAsia="Times New Roman" w:hAnsiTheme="minorBidi" w:cs="PT Bold Heading"/>
          <w:sz w:val="36"/>
          <w:szCs w:val="36"/>
          <w:rtl/>
        </w:rPr>
      </w:pPr>
      <w:r w:rsidRPr="004D6F14">
        <w:rPr>
          <w:rFonts w:asciiTheme="minorBidi" w:eastAsia="Times New Roman" w:hAnsiTheme="minorBidi" w:cs="PT Bold Heading" w:hint="cs"/>
          <w:sz w:val="36"/>
          <w:szCs w:val="36"/>
          <w:rtl/>
        </w:rPr>
        <w:t>مفهوم الخبرة واحكامها</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p>
    <w:p w:rsidR="004D6F14" w:rsidRPr="004D6F14" w:rsidRDefault="004D6F14" w:rsidP="004D6F14">
      <w:pPr>
        <w:spacing w:after="0" w:line="240" w:lineRule="auto"/>
        <w:ind w:firstLine="565"/>
        <w:jc w:val="lowKashida"/>
        <w:rPr>
          <w:rFonts w:asciiTheme="minorBidi" w:eastAsia="Times New Roman" w:hAnsiTheme="minorBidi"/>
          <w:b/>
          <w:bCs/>
          <w:sz w:val="28"/>
          <w:szCs w:val="28"/>
          <w:rtl/>
        </w:rPr>
      </w:pPr>
      <w:r w:rsidRPr="004D6F14">
        <w:rPr>
          <w:rFonts w:asciiTheme="minorBidi" w:eastAsia="Times New Roman" w:hAnsiTheme="minorBidi" w:hint="cs"/>
          <w:b/>
          <w:bCs/>
          <w:sz w:val="28"/>
          <w:szCs w:val="28"/>
          <w:rtl/>
        </w:rPr>
        <w:t>أولاً- تعريف الخبرة</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hint="cs"/>
          <w:sz w:val="28"/>
          <w:szCs w:val="28"/>
          <w:rtl/>
        </w:rPr>
        <w:t xml:space="preserve"> </w:t>
      </w:r>
      <w:r w:rsidRPr="004D6F14">
        <w:rPr>
          <w:rFonts w:asciiTheme="minorBidi" w:eastAsia="Times New Roman" w:hAnsiTheme="minorBidi"/>
          <w:sz w:val="28"/>
          <w:szCs w:val="28"/>
          <w:rtl/>
        </w:rPr>
        <w:t xml:space="preserve">فالخبرة تعرف بانها " الاستشارة الفنية التي يستعين بها المحقق او قاضي التحقيق في تقدير المسائل الفنية التي يحتاج تقديرها إلى معرفة فنية او دراية علمية لا تتوافر لدى من يباشر التحقيق بحكم ثقافته ، وسواء كانت تلك المسائل الفنية متعلقة بشخص المتهم او بجسم الجريمة او المواد المستعلمة في ارتكابها او آثارها </w:t>
      </w:r>
      <w:r w:rsidRPr="004D6F14">
        <w:rPr>
          <w:rFonts w:asciiTheme="minorBidi" w:eastAsia="Times New Roman" w:hAnsiTheme="minorBidi"/>
          <w:sz w:val="28"/>
          <w:szCs w:val="28"/>
          <w:vertAlign w:val="superscript"/>
          <w:rtl/>
        </w:rPr>
        <w:footnoteReference w:customMarkFollows="1" w:id="1"/>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 ورأي الخبير له دور كبير من اجل الفصل في الدعوى </w:t>
      </w:r>
      <w:r w:rsidRPr="004D6F14">
        <w:rPr>
          <w:rFonts w:asciiTheme="minorBidi" w:eastAsia="Times New Roman" w:hAnsiTheme="minorBidi"/>
          <w:sz w:val="28"/>
          <w:szCs w:val="28"/>
          <w:vertAlign w:val="superscript"/>
          <w:rtl/>
        </w:rPr>
        <w:footnoteReference w:customMarkFollows="1" w:id="2"/>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 وعليه لابد من ان يحاط هذا الاجراء بضمانات بالنسبة للمتهم من اجل عدم التعسف في اللجوء لهذا الاجراء من قبل السلطة القائمة بالتحقيق ومن هذه الضمانات </w:t>
      </w:r>
      <w:r w:rsidRPr="004D6F14">
        <w:rPr>
          <w:rFonts w:asciiTheme="minorBidi" w:eastAsia="Times New Roman" w:hAnsiTheme="minorBidi" w:hint="cs"/>
          <w:sz w:val="28"/>
          <w:szCs w:val="28"/>
          <w:rtl/>
        </w:rPr>
        <w:t>.</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p>
    <w:p w:rsidR="004D6F14" w:rsidRPr="004D6F14" w:rsidRDefault="004D6F14" w:rsidP="004D6F14">
      <w:pPr>
        <w:spacing w:after="0" w:line="240" w:lineRule="auto"/>
        <w:ind w:left="567" w:hanging="567"/>
        <w:jc w:val="lowKashida"/>
        <w:rPr>
          <w:rFonts w:asciiTheme="minorBidi" w:eastAsia="Times New Roman" w:hAnsiTheme="minorBidi"/>
          <w:b/>
          <w:bCs/>
          <w:sz w:val="28"/>
          <w:szCs w:val="28"/>
          <w:rtl/>
        </w:rPr>
      </w:pPr>
      <w:r w:rsidRPr="004D6F14">
        <w:rPr>
          <w:rFonts w:asciiTheme="minorBidi" w:eastAsia="Times New Roman" w:hAnsiTheme="minorBidi" w:hint="cs"/>
          <w:b/>
          <w:bCs/>
          <w:sz w:val="28"/>
          <w:szCs w:val="28"/>
          <w:rtl/>
        </w:rPr>
        <w:t>ثانياً</w:t>
      </w:r>
      <w:r w:rsidRPr="004D6F14">
        <w:rPr>
          <w:rFonts w:asciiTheme="minorBidi" w:eastAsia="Times New Roman" w:hAnsiTheme="minorBidi"/>
          <w:b/>
          <w:bCs/>
          <w:sz w:val="28"/>
          <w:szCs w:val="28"/>
          <w:rtl/>
        </w:rPr>
        <w:t xml:space="preserve"> </w:t>
      </w:r>
      <w:r w:rsidRPr="004D6F14">
        <w:rPr>
          <w:rFonts w:asciiTheme="minorBidi" w:eastAsia="Times New Roman" w:hAnsiTheme="minorBidi"/>
          <w:b/>
          <w:bCs/>
          <w:sz w:val="28"/>
          <w:szCs w:val="28"/>
        </w:rPr>
        <w:t>–</w:t>
      </w:r>
      <w:r w:rsidRPr="004D6F14">
        <w:rPr>
          <w:rFonts w:asciiTheme="minorBidi" w:eastAsia="Times New Roman" w:hAnsiTheme="minorBidi"/>
          <w:b/>
          <w:bCs/>
          <w:sz w:val="28"/>
          <w:szCs w:val="28"/>
          <w:rtl/>
        </w:rPr>
        <w:t xml:space="preserve"> حلف الخبير لليمين وامكانية طلب رد الخبير </w:t>
      </w:r>
    </w:p>
    <w:p w:rsidR="004D6F14" w:rsidRPr="004D6F14" w:rsidRDefault="004D6F14" w:rsidP="004D6F14">
      <w:pPr>
        <w:spacing w:after="0" w:line="240" w:lineRule="auto"/>
        <w:ind w:left="567" w:hanging="567"/>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يحلف الخبير اليمن على اداء عمله بصدق وامانة ، والملاحظ على قانون اصول المحاكمات الجزائية العراقي انه لم ينص على ضرورة حلف الخبير لليمين بعكس الكثير من القوانين الاجرائية الاخرى </w:t>
      </w:r>
      <w:r w:rsidRPr="004D6F14">
        <w:rPr>
          <w:rFonts w:asciiTheme="minorBidi" w:eastAsia="Times New Roman" w:hAnsiTheme="minorBidi"/>
          <w:sz w:val="28"/>
          <w:szCs w:val="28"/>
          <w:vertAlign w:val="superscript"/>
          <w:rtl/>
        </w:rPr>
        <w:footnoteReference w:customMarkFollows="1" w:id="3"/>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 وعند الرجوع إلى قانون المرافعات المدنية رقم (83) لسنة 1969 نجد ان النصوص الخاصة بالخبرة قد ألغيت بموجب نص المادة 47 / ثانيا من قانون الاثبات رقم (107) لسنة 1979 </w:t>
      </w:r>
      <w:r w:rsidRPr="004D6F14">
        <w:rPr>
          <w:rFonts w:asciiTheme="minorBidi" w:eastAsia="Times New Roman" w:hAnsiTheme="minorBidi"/>
          <w:sz w:val="28"/>
          <w:szCs w:val="28"/>
          <w:vertAlign w:val="superscript"/>
          <w:rtl/>
        </w:rPr>
        <w:footnoteReference w:customMarkFollows="1" w:id="4"/>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 وعند الرجوع إلى قانون الإثبات نجد ان المادة 134 / ثانيا منه تنص على انه " إذا لم يكن الخبير مقيدا في جدول الخبراء وجب ان يحلف يمينا قبل مباشرته مهمته بان يؤدي عمله بالصدق والامانة ، واذا فات المحكمة </w:t>
      </w:r>
      <w:r w:rsidRPr="004D6F14">
        <w:rPr>
          <w:rFonts w:asciiTheme="minorBidi" w:eastAsia="Times New Roman" w:hAnsiTheme="minorBidi"/>
          <w:sz w:val="28"/>
          <w:szCs w:val="28"/>
          <w:rtl/>
        </w:rPr>
        <w:lastRenderedPageBreak/>
        <w:t xml:space="preserve">تحليف الخبير </w:t>
      </w:r>
      <w:proofErr w:type="spellStart"/>
      <w:r w:rsidRPr="004D6F14">
        <w:rPr>
          <w:rFonts w:asciiTheme="minorBidi" w:eastAsia="Times New Roman" w:hAnsiTheme="minorBidi"/>
          <w:sz w:val="28"/>
          <w:szCs w:val="28"/>
          <w:rtl/>
        </w:rPr>
        <w:t>ابتداءا</w:t>
      </w:r>
      <w:proofErr w:type="spellEnd"/>
      <w:r w:rsidRPr="004D6F14">
        <w:rPr>
          <w:rFonts w:asciiTheme="minorBidi" w:eastAsia="Times New Roman" w:hAnsiTheme="minorBidi"/>
          <w:sz w:val="28"/>
          <w:szCs w:val="28"/>
          <w:rtl/>
        </w:rPr>
        <w:t xml:space="preserve"> وكان قد انجز مهمته على الوجه المطلوب وجب تحليفه بانه كان قد ادى عمله بالصدق والامانة كما ان للمتهم او وكيله الحق في طلب رد الخبير </w:t>
      </w:r>
      <w:r w:rsidRPr="004D6F14">
        <w:rPr>
          <w:rFonts w:asciiTheme="minorBidi" w:eastAsia="Times New Roman" w:hAnsiTheme="minorBidi"/>
          <w:sz w:val="28"/>
          <w:szCs w:val="28"/>
        </w:rPr>
        <w:t>–</w:t>
      </w:r>
      <w:r w:rsidRPr="004D6F14">
        <w:rPr>
          <w:rFonts w:asciiTheme="minorBidi" w:eastAsia="Times New Roman" w:hAnsiTheme="minorBidi"/>
          <w:sz w:val="28"/>
          <w:szCs w:val="28"/>
          <w:rtl/>
        </w:rPr>
        <w:t xml:space="preserve"> إلا إنه لا يجوز لهما طلب الرد </w:t>
      </w:r>
      <w:proofErr w:type="spellStart"/>
      <w:r w:rsidRPr="004D6F14">
        <w:rPr>
          <w:rFonts w:asciiTheme="minorBidi" w:eastAsia="Times New Roman" w:hAnsiTheme="minorBidi"/>
          <w:sz w:val="28"/>
          <w:szCs w:val="28"/>
          <w:rtl/>
        </w:rPr>
        <w:t>لاول</w:t>
      </w:r>
      <w:proofErr w:type="spellEnd"/>
      <w:r w:rsidRPr="004D6F14">
        <w:rPr>
          <w:rFonts w:asciiTheme="minorBidi" w:eastAsia="Times New Roman" w:hAnsiTheme="minorBidi"/>
          <w:sz w:val="28"/>
          <w:szCs w:val="28"/>
          <w:rtl/>
        </w:rPr>
        <w:t xml:space="preserve"> مرة امام محكمة التمييز </w:t>
      </w:r>
      <w:r w:rsidRPr="004D6F14">
        <w:rPr>
          <w:rFonts w:asciiTheme="minorBidi" w:eastAsia="Times New Roman" w:hAnsiTheme="minorBidi"/>
          <w:sz w:val="28"/>
          <w:szCs w:val="28"/>
          <w:vertAlign w:val="superscript"/>
          <w:rtl/>
        </w:rPr>
        <w:footnoteReference w:customMarkFollows="1" w:id="5"/>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 وان كان المشرع العراقي لم ينص على ذلك الحق في قانون اصول المحاكمات الجزائية على العكس من بعض التشريعات الجنائية التي نصت على </w:t>
      </w:r>
      <w:r w:rsidRPr="004D6F14">
        <w:rPr>
          <w:rFonts w:asciiTheme="minorBidi" w:eastAsia="Times New Roman" w:hAnsiTheme="minorBidi"/>
          <w:sz w:val="28"/>
          <w:szCs w:val="28"/>
          <w:rtl/>
        </w:rPr>
        <w:br/>
        <w:t xml:space="preserve">ذلك ، كالقانون المصري إذ نصت المادة 89 / اجراءات جنائية على انه ( للخصوم رد الخبير إذا وجدت اسباب قوية تدعو لذلك ) ، والقانون الليبي في المادة 73 / اجراءات جنائية التي تنص على انه ( للخصوم رد الخبير إذا وجدت اسباب قوية تدعو لذلك ) . وبالرجوع إلى قانون الإثبات ايضا نجد المادة ( 136 ) قد بينت ذلك بقولها:- ( للخصوم طلب رد الخبير المعين من قبل المحكمة التي تنظر في الدعوى وتفصل المحكمة في هذا الطلب بقرار لا يقبل الطعن إلا تبعا للحكم الحاسم فيها وتتبع في حالة رد الحبير الإجراءات المتبعة في رد القاضي ) </w:t>
      </w:r>
      <w:r w:rsidRPr="004D6F14">
        <w:rPr>
          <w:rFonts w:asciiTheme="minorBidi" w:eastAsia="Times New Roman" w:hAnsiTheme="minorBidi"/>
          <w:sz w:val="28"/>
          <w:szCs w:val="28"/>
          <w:vertAlign w:val="superscript"/>
          <w:rtl/>
        </w:rPr>
        <w:footnoteReference w:customMarkFollows="1" w:id="6"/>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left="567" w:hanging="567"/>
        <w:jc w:val="lowKashida"/>
        <w:rPr>
          <w:rFonts w:asciiTheme="minorBidi" w:eastAsia="Times New Roman" w:hAnsiTheme="minorBidi"/>
          <w:sz w:val="28"/>
          <w:szCs w:val="28"/>
          <w:rtl/>
        </w:rPr>
      </w:pPr>
    </w:p>
    <w:p w:rsidR="004D6F14" w:rsidRPr="004D6F14" w:rsidRDefault="004D6F14" w:rsidP="004D6F14">
      <w:pPr>
        <w:spacing w:after="0" w:line="240" w:lineRule="auto"/>
        <w:ind w:left="565" w:hanging="565"/>
        <w:jc w:val="lowKashida"/>
        <w:rPr>
          <w:rFonts w:asciiTheme="minorBidi" w:eastAsia="Times New Roman" w:hAnsiTheme="minorBidi"/>
          <w:b/>
          <w:bCs/>
          <w:sz w:val="28"/>
          <w:szCs w:val="28"/>
          <w:rtl/>
        </w:rPr>
      </w:pPr>
      <w:r w:rsidRPr="004D6F14">
        <w:rPr>
          <w:rFonts w:asciiTheme="minorBidi" w:eastAsia="Times New Roman" w:hAnsiTheme="minorBidi"/>
          <w:b/>
          <w:bCs/>
          <w:sz w:val="28"/>
          <w:szCs w:val="28"/>
          <w:rtl/>
        </w:rPr>
        <w:t>ثا</w:t>
      </w:r>
      <w:r w:rsidRPr="004D6F14">
        <w:rPr>
          <w:rFonts w:asciiTheme="minorBidi" w:eastAsia="Times New Roman" w:hAnsiTheme="minorBidi" w:hint="cs"/>
          <w:b/>
          <w:bCs/>
          <w:sz w:val="28"/>
          <w:szCs w:val="28"/>
          <w:rtl/>
        </w:rPr>
        <w:t>لثاً</w:t>
      </w:r>
      <w:r w:rsidRPr="004D6F14">
        <w:rPr>
          <w:rFonts w:asciiTheme="minorBidi" w:eastAsia="Times New Roman" w:hAnsiTheme="minorBidi"/>
          <w:b/>
          <w:bCs/>
          <w:sz w:val="28"/>
          <w:szCs w:val="28"/>
          <w:rtl/>
        </w:rPr>
        <w:t xml:space="preserve"> </w:t>
      </w:r>
      <w:r w:rsidRPr="004D6F14">
        <w:rPr>
          <w:rFonts w:asciiTheme="minorBidi" w:eastAsia="Times New Roman" w:hAnsiTheme="minorBidi"/>
          <w:b/>
          <w:bCs/>
          <w:sz w:val="28"/>
          <w:szCs w:val="28"/>
        </w:rPr>
        <w:t>–</w:t>
      </w:r>
      <w:r w:rsidRPr="004D6F14">
        <w:rPr>
          <w:rFonts w:asciiTheme="minorBidi" w:eastAsia="Times New Roman" w:hAnsiTheme="minorBidi"/>
          <w:b/>
          <w:bCs/>
          <w:sz w:val="28"/>
          <w:szCs w:val="28"/>
          <w:rtl/>
        </w:rPr>
        <w:t xml:space="preserve"> إرغام المتهم على الفحص </w:t>
      </w:r>
    </w:p>
    <w:p w:rsidR="004D6F14" w:rsidRPr="004D6F14" w:rsidRDefault="004D6F14" w:rsidP="004D6F14">
      <w:pPr>
        <w:spacing w:after="0" w:line="240" w:lineRule="auto"/>
        <w:ind w:left="565" w:hanging="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أجازت المادة (70) من قانون اصول المحاكمات الجزائية لقاضي التحقيق او المحقق ارغام المتهم في جناية او جنحة على التمكين من الكشف على جسمه واخذ تصويره الشمسي او بصمة اصابعه او قليل من دمه او شعره او اظافره او غير ذلك مما يفيد التحقيق </w:t>
      </w:r>
      <w:r w:rsidRPr="004D6F14">
        <w:rPr>
          <w:rFonts w:asciiTheme="minorBidi" w:eastAsia="Times New Roman" w:hAnsiTheme="minorBidi" w:hint="cs"/>
          <w:sz w:val="28"/>
          <w:szCs w:val="28"/>
          <w:rtl/>
        </w:rPr>
        <w:t>لإجراء</w:t>
      </w:r>
      <w:r w:rsidRPr="004D6F14">
        <w:rPr>
          <w:rFonts w:asciiTheme="minorBidi" w:eastAsia="Times New Roman" w:hAnsiTheme="minorBidi"/>
          <w:sz w:val="28"/>
          <w:szCs w:val="28"/>
          <w:rtl/>
        </w:rPr>
        <w:t xml:space="preserve"> الفحص اللازم عليها . ان نص المادة اعلاه يوجب علينا البحث في مسائل عدة :</w:t>
      </w:r>
    </w:p>
    <w:p w:rsidR="004D6F14" w:rsidRPr="004D6F14" w:rsidRDefault="004D6F14" w:rsidP="004D6F14">
      <w:pPr>
        <w:spacing w:after="0" w:line="240" w:lineRule="auto"/>
        <w:ind w:left="565" w:hanging="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left="849" w:hanging="284"/>
        <w:jc w:val="lowKashida"/>
        <w:rPr>
          <w:rFonts w:asciiTheme="minorBidi" w:eastAsia="Times New Roman" w:hAnsiTheme="minorBidi"/>
          <w:sz w:val="28"/>
          <w:szCs w:val="28"/>
          <w:rtl/>
        </w:rPr>
      </w:pPr>
      <w:r w:rsidRPr="004D6F14">
        <w:rPr>
          <w:rFonts w:asciiTheme="minorBidi" w:eastAsia="Times New Roman" w:hAnsiTheme="minorBidi"/>
          <w:sz w:val="28"/>
          <w:szCs w:val="28"/>
          <w:rtl/>
        </w:rPr>
        <w:t>1-</w:t>
      </w:r>
      <w:r w:rsidRPr="004D6F14">
        <w:rPr>
          <w:rFonts w:asciiTheme="minorBidi" w:eastAsia="Times New Roman" w:hAnsiTheme="minorBidi" w:hint="cs"/>
          <w:sz w:val="28"/>
          <w:szCs w:val="28"/>
          <w:rtl/>
        </w:rPr>
        <w:t xml:space="preserve"> </w:t>
      </w:r>
      <w:r w:rsidRPr="004D6F14">
        <w:rPr>
          <w:rFonts w:asciiTheme="minorBidi" w:eastAsia="Times New Roman" w:hAnsiTheme="minorBidi"/>
          <w:sz w:val="28"/>
          <w:szCs w:val="28"/>
          <w:rtl/>
        </w:rPr>
        <w:t xml:space="preserve">ماهي الامور التي يجوز ارغام المتهم عليها </w:t>
      </w:r>
      <w:r w:rsidRPr="004D6F14">
        <w:rPr>
          <w:rFonts w:asciiTheme="minorBidi" w:eastAsia="Times New Roman" w:hAnsiTheme="minorBidi"/>
          <w:sz w:val="28"/>
          <w:szCs w:val="28"/>
        </w:rPr>
        <w:t>–</w:t>
      </w:r>
      <w:r w:rsidRPr="004D6F14">
        <w:rPr>
          <w:rFonts w:asciiTheme="minorBidi" w:eastAsia="Times New Roman" w:hAnsiTheme="minorBidi"/>
          <w:sz w:val="28"/>
          <w:szCs w:val="28"/>
          <w:rtl/>
        </w:rPr>
        <w:t xml:space="preserve"> حددت المادة المذكورة هذه الأمور وهي : الكشف على جسم المتهم او اخذ تصوير او اخذ بصمات اصابعه </w:t>
      </w:r>
      <w:r w:rsidRPr="004D6F14">
        <w:rPr>
          <w:rFonts w:asciiTheme="minorBidi" w:eastAsia="Times New Roman" w:hAnsiTheme="minorBidi"/>
          <w:sz w:val="28"/>
          <w:szCs w:val="28"/>
          <w:vertAlign w:val="superscript"/>
          <w:rtl/>
        </w:rPr>
        <w:footnoteReference w:customMarkFollows="1" w:id="7"/>
        <w:t>(2)</w:t>
      </w:r>
      <w:r w:rsidRPr="004D6F14">
        <w:rPr>
          <w:rFonts w:asciiTheme="minorBidi" w:eastAsia="Times New Roman" w:hAnsiTheme="minorBidi"/>
          <w:sz w:val="28"/>
          <w:szCs w:val="28"/>
          <w:rtl/>
        </w:rPr>
        <w:t xml:space="preserve"> او اخذ القليل من دمه او شعره او اظافره او اخذ غير ما ورد ذكره في الفقرات السابقة ومما يستفاد منه في التحقيق كالبصاق واليوريا ومحتويات المعدة ، ولكن السؤال الذي يطرح هنا الا يعد ارغام المتهم على تلك الامور مساسا بسلامة جسمه ؟</w:t>
      </w:r>
    </w:p>
    <w:p w:rsidR="004D6F14" w:rsidRPr="004D6F14" w:rsidRDefault="004D6F14" w:rsidP="004D6F14">
      <w:pPr>
        <w:spacing w:after="0" w:line="240" w:lineRule="auto"/>
        <w:ind w:left="849" w:hanging="284"/>
        <w:jc w:val="lowKashida"/>
        <w:rPr>
          <w:rFonts w:asciiTheme="minorBidi" w:eastAsia="Times New Roman" w:hAnsiTheme="minorBidi"/>
          <w:sz w:val="28"/>
          <w:szCs w:val="28"/>
          <w:rtl/>
        </w:rPr>
      </w:pPr>
    </w:p>
    <w:p w:rsidR="004D6F14" w:rsidRPr="004D6F14" w:rsidRDefault="004D6F14" w:rsidP="004D6F14">
      <w:pPr>
        <w:spacing w:after="0" w:line="240" w:lineRule="auto"/>
        <w:ind w:left="851" w:firstLine="589"/>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إن جميع هذه الامور من حيث المبدأ تشكل مساسا بسلامة جسم المتهم ، الا ان اباحة مثل تلك الاعمال امر </w:t>
      </w:r>
      <w:proofErr w:type="spellStart"/>
      <w:r w:rsidRPr="004D6F14">
        <w:rPr>
          <w:rFonts w:asciiTheme="minorBidi" w:eastAsia="Times New Roman" w:hAnsiTheme="minorBidi"/>
          <w:sz w:val="28"/>
          <w:szCs w:val="28"/>
          <w:rtl/>
        </w:rPr>
        <w:t>تتطلبه</w:t>
      </w:r>
      <w:proofErr w:type="spellEnd"/>
      <w:r w:rsidRPr="004D6F14">
        <w:rPr>
          <w:rFonts w:asciiTheme="minorBidi" w:eastAsia="Times New Roman" w:hAnsiTheme="minorBidi"/>
          <w:sz w:val="28"/>
          <w:szCs w:val="28"/>
          <w:rtl/>
        </w:rPr>
        <w:t xml:space="preserve"> ضرورات التحقيق ومصلحة المجتمع ولاسيما مرفق العدالة في الوصول إلى الحقيقة فضلا عن ان الضرر المترتب على مثل هذه الاعمال ضئيل جدا ، إذا ما قورن بالنتائج المتحصلة منها للوقوف على الحقيقة </w:t>
      </w:r>
      <w:r w:rsidRPr="004D6F14">
        <w:rPr>
          <w:rFonts w:asciiTheme="minorBidi" w:eastAsia="Times New Roman" w:hAnsiTheme="minorBidi" w:hint="cs"/>
          <w:sz w:val="28"/>
          <w:szCs w:val="28"/>
          <w:rtl/>
        </w:rPr>
        <w:t>بأسرع</w:t>
      </w:r>
      <w:r w:rsidRPr="004D6F14">
        <w:rPr>
          <w:rFonts w:asciiTheme="minorBidi" w:eastAsia="Times New Roman" w:hAnsiTheme="minorBidi"/>
          <w:sz w:val="28"/>
          <w:szCs w:val="28"/>
          <w:rtl/>
        </w:rPr>
        <w:t xml:space="preserve"> وقت </w:t>
      </w:r>
      <w:r w:rsidRPr="004D6F14">
        <w:rPr>
          <w:rFonts w:asciiTheme="minorBidi" w:eastAsia="Times New Roman" w:hAnsiTheme="minorBidi" w:hint="cs"/>
          <w:sz w:val="28"/>
          <w:szCs w:val="28"/>
          <w:rtl/>
        </w:rPr>
        <w:t>وبأدق</w:t>
      </w:r>
      <w:r w:rsidRPr="004D6F14">
        <w:rPr>
          <w:rFonts w:asciiTheme="minorBidi" w:eastAsia="Times New Roman" w:hAnsiTheme="minorBidi"/>
          <w:sz w:val="28"/>
          <w:szCs w:val="28"/>
          <w:rtl/>
        </w:rPr>
        <w:t xml:space="preserve"> اجراء . فضلا عن ذلك فان المشرع لم يترك امر اللجوء لمثل هذه الاعمال خاضعا لتقدير سلطة التحقيق بصورة مطلقة بل قرر بعض الضمانات للمتهم وهي :-</w:t>
      </w:r>
    </w:p>
    <w:p w:rsidR="004D6F14" w:rsidRPr="004D6F14" w:rsidRDefault="004D6F14" w:rsidP="004D6F14">
      <w:pPr>
        <w:spacing w:after="0" w:line="240" w:lineRule="auto"/>
        <w:ind w:left="1274" w:hanging="42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أ-ان تكون الجريمة المنسوبة للمتهم جناية او جنحة وبالتالي لا يجوز اللجوء إلى تلك الاجراءات إذا كان الشخص متهما بارتكاب مخالفة </w:t>
      </w:r>
      <w:r w:rsidRPr="004D6F14">
        <w:rPr>
          <w:rFonts w:asciiTheme="minorBidi" w:eastAsia="Times New Roman" w:hAnsiTheme="minorBidi"/>
          <w:sz w:val="28"/>
          <w:szCs w:val="28"/>
          <w:vertAlign w:val="superscript"/>
          <w:rtl/>
        </w:rPr>
        <w:footnoteReference w:customMarkFollows="1" w:id="8"/>
        <w:t>(1)</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left="1274" w:hanging="425"/>
        <w:jc w:val="lowKashida"/>
        <w:rPr>
          <w:rFonts w:asciiTheme="minorBidi" w:eastAsia="Times New Roman" w:hAnsiTheme="minorBidi"/>
          <w:sz w:val="28"/>
          <w:szCs w:val="28"/>
          <w:rtl/>
        </w:rPr>
      </w:pPr>
      <w:r w:rsidRPr="004D6F14">
        <w:rPr>
          <w:rFonts w:asciiTheme="minorBidi" w:eastAsia="Times New Roman" w:hAnsiTheme="minorBidi"/>
          <w:sz w:val="28"/>
          <w:szCs w:val="28"/>
          <w:rtl/>
        </w:rPr>
        <w:lastRenderedPageBreak/>
        <w:t>ب-ان يكون ارغام المتهم على تلك الاجراءات يفيد التحقيق .</w:t>
      </w:r>
    </w:p>
    <w:p w:rsidR="004D6F14" w:rsidRPr="004D6F14" w:rsidRDefault="004D6F14" w:rsidP="004D6F14">
      <w:pPr>
        <w:spacing w:after="0" w:line="240" w:lineRule="auto"/>
        <w:ind w:left="1274" w:hanging="425"/>
        <w:jc w:val="lowKashida"/>
        <w:rPr>
          <w:rFonts w:asciiTheme="minorBidi" w:eastAsia="Times New Roman" w:hAnsiTheme="minorBidi"/>
          <w:sz w:val="28"/>
          <w:szCs w:val="28"/>
          <w:rtl/>
        </w:rPr>
      </w:pPr>
      <w:r w:rsidRPr="004D6F14">
        <w:rPr>
          <w:rFonts w:asciiTheme="minorBidi" w:eastAsia="Times New Roman" w:hAnsiTheme="minorBidi"/>
          <w:sz w:val="28"/>
          <w:szCs w:val="28"/>
          <w:rtl/>
        </w:rPr>
        <w:t>ج- ان يكون الكشف عن جسم الانثى ( المتهمة ) بواسطة انثى قدر الامكان . ومما يلحظ على نص المادة (70) من قانون اصول المحاكمات الجزائية التي ورد فيها عبارة ( بقدر الامكان ) ان هذه العبارة تعني امكانية اجراء الكشف على الانثى بواسطة رجل وهذا الامر محل نظر ، فكان الجدير بالمشرع العراقي ان يجعل امر الكشف على الانثى من قبل انثى اخرى امر وجوبياً ، وذلك برفع عبارة (بقدر الامكان) من بين عبارات النص كما فعل في التفتيش في المادة (80) من قانون اصول المحاكمات الجزائية  .</w:t>
      </w:r>
    </w:p>
    <w:p w:rsidR="004D6F14" w:rsidRPr="004D6F14" w:rsidRDefault="004D6F14" w:rsidP="004D6F14">
      <w:pPr>
        <w:spacing w:after="0" w:line="240" w:lineRule="auto"/>
        <w:ind w:left="1274"/>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ان الكشف الذي يخضع له المتهم ، هو الكشف الجنائي كالكشف الذي يجري لمعرفة نسبة الكحول في الدم او اليوريا او في الزفير إذا كان هناك شك في ان المتهم كان في حالة سكر . أما غسيل المعدة فيتم لمعرفة محتويات المعدة كقيام المتهم بابتلاع المخدر عند مشاهدته لرجال الشرطة ، مع ملاحظة ان البعض يرى ان كلاً من غسيل المعدة وفحص الدم واليوريا ، يعد تفتيشا وبالتالي يجوز استخدام الاكراه بشرط ان لا يضر بصحة المتهم </w:t>
      </w:r>
      <w:r w:rsidRPr="004D6F14">
        <w:rPr>
          <w:rFonts w:asciiTheme="minorBidi" w:eastAsia="Times New Roman" w:hAnsiTheme="minorBidi"/>
          <w:sz w:val="28"/>
          <w:szCs w:val="28"/>
          <w:vertAlign w:val="superscript"/>
          <w:rtl/>
        </w:rPr>
        <w:footnoteReference w:customMarkFollows="1" w:id="9"/>
        <w:t>(2)</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2. تحديد الجهة التي يحق لها ارغام المتهم والوسائل المستخدمة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إن نص المادة (70) من قانون اصول المحاكمات الجزائية واضح وصريح إذ أجاز لقاضي التحقيق والمحقق فقط الحق في ارغام المتهم على الاجراءات المنصوص عليها في المادة المذكورة . في حين اجازت بعض التشريعات لجهات اخرى ممارسة هذا الاجراء ، كالمادة (119) إجراءات جنائية سوداني التي تنص على انه ( </w:t>
      </w:r>
      <w:proofErr w:type="spellStart"/>
      <w:r w:rsidRPr="004D6F14">
        <w:rPr>
          <w:rFonts w:asciiTheme="minorBidi" w:eastAsia="Times New Roman" w:hAnsiTheme="minorBidi"/>
          <w:sz w:val="28"/>
          <w:szCs w:val="28"/>
          <w:rtl/>
        </w:rPr>
        <w:t>لاي</w:t>
      </w:r>
      <w:proofErr w:type="spellEnd"/>
      <w:r w:rsidRPr="004D6F14">
        <w:rPr>
          <w:rFonts w:asciiTheme="minorBidi" w:eastAsia="Times New Roman" w:hAnsiTheme="minorBidi"/>
          <w:sz w:val="28"/>
          <w:szCs w:val="28"/>
          <w:rtl/>
        </w:rPr>
        <w:t xml:space="preserve"> قاضي او رجل بوليس ان يطلب إلى أي شخص مقبوض عليه بناءً على شبهة معقولة لمساهمته في جريمة معاقب عليها بالسجن تقديم نفسه للفحص الطبي على يد شخص مرخص له في مزاولة مهنة الطب الشرعي ويجب أن لا يطلب الفحص المذكور إلا إذا كان ذلك لمصلحة العدالة كما لو كان هدفه التثبت مما إذا كان المتهم مرتكبا للجريمة المشتبه به فيها ) </w:t>
      </w:r>
      <w:r w:rsidRPr="004D6F14">
        <w:rPr>
          <w:rFonts w:asciiTheme="minorBidi" w:eastAsia="Times New Roman" w:hAnsiTheme="minorBidi"/>
          <w:sz w:val="28"/>
          <w:szCs w:val="28"/>
          <w:vertAlign w:val="superscript"/>
          <w:rtl/>
        </w:rPr>
        <w:footnoteReference w:customMarkFollows="1" w:id="10"/>
        <w:t>(1)</w:t>
      </w:r>
      <w:r w:rsidRPr="004D6F14">
        <w:rPr>
          <w:rFonts w:asciiTheme="minorBidi" w:eastAsia="Times New Roman" w:hAnsiTheme="minorBidi"/>
          <w:sz w:val="28"/>
          <w:szCs w:val="28"/>
          <w:rtl/>
        </w:rPr>
        <w:t xml:space="preserve"> . كذلك لا يمكن عد الخضوع للفحص مساسا بجسم المتهم إذا كان هو الذي طلب الخضوع لذلك الفحص بوصفه احد الخصوم في الدعوى </w:t>
      </w:r>
      <w:r w:rsidRPr="004D6F14">
        <w:rPr>
          <w:rFonts w:asciiTheme="minorBidi" w:eastAsia="Times New Roman" w:hAnsiTheme="minorBidi"/>
          <w:sz w:val="28"/>
          <w:szCs w:val="28"/>
          <w:vertAlign w:val="superscript"/>
          <w:rtl/>
        </w:rPr>
        <w:footnoteReference w:customMarkFollows="1" w:id="11"/>
        <w:t>(2)</w:t>
      </w:r>
      <w:r w:rsidRPr="004D6F14">
        <w:rPr>
          <w:rFonts w:asciiTheme="minorBidi" w:eastAsia="Times New Roman" w:hAnsiTheme="minorBidi"/>
          <w:sz w:val="28"/>
          <w:szCs w:val="28"/>
          <w:rtl/>
        </w:rPr>
        <w:t xml:space="preserve"> . ولكن هل يجوز للخبير ارغام المتهم على الخضوع للفحص ؟ وما هو الحكم لو امتنع المتهم عن الخضوع لهذا الفحص ؟ بالرجوع إلى نص المادة (70) من قانون اصول المحاكمات الجزائية نجدها قد قصرت الأمر على قاضي التحقيق او المحقق فقط ، وعليه لا يجوز للخبير اجبار المتهم على الخضوع للفحص ، واستخدام القوة من قبله والا عد متجاوزا لحدود وظيفته </w:t>
      </w:r>
      <w:r w:rsidRPr="004D6F14">
        <w:rPr>
          <w:rFonts w:asciiTheme="minorBidi" w:eastAsia="Times New Roman" w:hAnsiTheme="minorBidi"/>
          <w:sz w:val="28"/>
          <w:szCs w:val="28"/>
          <w:vertAlign w:val="superscript"/>
          <w:rtl/>
        </w:rPr>
        <w:footnoteReference w:customMarkFollows="1" w:id="12"/>
        <w:t>(3)</w:t>
      </w:r>
      <w:r w:rsidRPr="004D6F14">
        <w:rPr>
          <w:rFonts w:asciiTheme="minorBidi" w:eastAsia="Times New Roman" w:hAnsiTheme="minorBidi"/>
          <w:sz w:val="28"/>
          <w:szCs w:val="28"/>
          <w:rtl/>
        </w:rPr>
        <w:t xml:space="preserve"> . فإذا امتنع المتهم عن الخضوع لمثل هذا الاختبار فان الجزاء المترتب على ذلك هو تطبيق نص المادتين ( 240 و 241 عقوبات ) </w:t>
      </w:r>
      <w:r w:rsidRPr="004D6F14">
        <w:rPr>
          <w:rFonts w:asciiTheme="minorBidi" w:eastAsia="Times New Roman" w:hAnsiTheme="minorBidi"/>
          <w:sz w:val="28"/>
          <w:szCs w:val="28"/>
          <w:vertAlign w:val="superscript"/>
          <w:rtl/>
        </w:rPr>
        <w:footnoteReference w:customMarkFollows="1" w:id="13"/>
        <w:t>(4)</w:t>
      </w:r>
      <w:r w:rsidRPr="004D6F14">
        <w:rPr>
          <w:rFonts w:asciiTheme="minorBidi" w:eastAsia="Times New Roman" w:hAnsiTheme="minorBidi"/>
          <w:sz w:val="28"/>
          <w:szCs w:val="28"/>
          <w:rtl/>
        </w:rPr>
        <w:t xml:space="preserve"> . وعليه لا يجوز المساس بجسم </w:t>
      </w:r>
      <w:r w:rsidRPr="004D6F14">
        <w:rPr>
          <w:rFonts w:asciiTheme="minorBidi" w:eastAsia="Times New Roman" w:hAnsiTheme="minorBidi"/>
          <w:sz w:val="28"/>
          <w:szCs w:val="28"/>
          <w:rtl/>
        </w:rPr>
        <w:lastRenderedPageBreak/>
        <w:t xml:space="preserve">المتهم </w:t>
      </w:r>
      <w:proofErr w:type="spellStart"/>
      <w:r w:rsidRPr="004D6F14">
        <w:rPr>
          <w:rFonts w:asciiTheme="minorBidi" w:eastAsia="Times New Roman" w:hAnsiTheme="minorBidi"/>
          <w:sz w:val="28"/>
          <w:szCs w:val="28"/>
          <w:rtl/>
        </w:rPr>
        <w:t>لاجباره</w:t>
      </w:r>
      <w:proofErr w:type="spellEnd"/>
      <w:r w:rsidRPr="004D6F14">
        <w:rPr>
          <w:rFonts w:asciiTheme="minorBidi" w:eastAsia="Times New Roman" w:hAnsiTheme="minorBidi"/>
          <w:sz w:val="28"/>
          <w:szCs w:val="28"/>
          <w:rtl/>
        </w:rPr>
        <w:t xml:space="preserve"> على الخضوع للفحص وإلا عد ذلك مخالفا </w:t>
      </w:r>
      <w:proofErr w:type="spellStart"/>
      <w:r w:rsidRPr="004D6F14">
        <w:rPr>
          <w:rFonts w:asciiTheme="minorBidi" w:eastAsia="Times New Roman" w:hAnsiTheme="minorBidi"/>
          <w:sz w:val="28"/>
          <w:szCs w:val="28"/>
          <w:rtl/>
        </w:rPr>
        <w:t>لاحكام</w:t>
      </w:r>
      <w:proofErr w:type="spellEnd"/>
      <w:r w:rsidRPr="004D6F14">
        <w:rPr>
          <w:rFonts w:asciiTheme="minorBidi" w:eastAsia="Times New Roman" w:hAnsiTheme="minorBidi"/>
          <w:sz w:val="28"/>
          <w:szCs w:val="28"/>
          <w:rtl/>
        </w:rPr>
        <w:t xml:space="preserve"> القانون و بالحكم نفسه اخذ المشرع الفرنسي ، إذ عد امتناع المتهم من الخضوع </w:t>
      </w:r>
      <w:proofErr w:type="spellStart"/>
      <w:r w:rsidRPr="004D6F14">
        <w:rPr>
          <w:rFonts w:asciiTheme="minorBidi" w:eastAsia="Times New Roman" w:hAnsiTheme="minorBidi"/>
          <w:sz w:val="28"/>
          <w:szCs w:val="28"/>
          <w:rtl/>
        </w:rPr>
        <w:t>لاخذ</w:t>
      </w:r>
      <w:proofErr w:type="spellEnd"/>
      <w:r w:rsidRPr="004D6F14">
        <w:rPr>
          <w:rFonts w:asciiTheme="minorBidi" w:eastAsia="Times New Roman" w:hAnsiTheme="minorBidi"/>
          <w:sz w:val="28"/>
          <w:szCs w:val="28"/>
          <w:rtl/>
        </w:rPr>
        <w:t xml:space="preserve"> عينة من دمه جريمة يجوز ان يعاقب عليها بالحبس مدة قد تصل إلى سنة </w:t>
      </w:r>
      <w:r w:rsidRPr="004D6F14">
        <w:rPr>
          <w:rFonts w:asciiTheme="minorBidi" w:eastAsia="Times New Roman" w:hAnsiTheme="minorBidi"/>
          <w:sz w:val="28"/>
          <w:szCs w:val="28"/>
          <w:vertAlign w:val="superscript"/>
          <w:rtl/>
        </w:rPr>
        <w:footnoteReference w:customMarkFollows="1" w:id="14"/>
        <w:t>(5)</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وبالنسبة لموقف التشريعات الأخرى فقد اختلفت في مدى اجبار المتهم في سبيل اخضاعه للفحوصات ، فالمشرع الفرنسي جعل اخذ عينة من الدم بالنسبة للمتهم امراً لازماً في حوادث الطرق القاتلة ، فتنص المادتان ( 88 و 89 من قانون 15 / إبريل ( نيسان ) / 1954 ) الخاص بتقنين المشروبات الروحية والتدابير الخاصة بمكافحة الكحول ، على انه " عقب وقوع حادث الطريق يجوز لرجال الضبط القضائي والإداري الذين يعتقدون ان الحادث وقع تحت تأثير الكحول ان يطلبوا إلى الشخص الخضوع للفحص الطبي او تحليل الدم للتأكد من نسبة الكحول فيه " </w:t>
      </w:r>
      <w:r w:rsidRPr="004D6F14">
        <w:rPr>
          <w:rFonts w:asciiTheme="minorBidi" w:eastAsia="Times New Roman" w:hAnsiTheme="minorBidi"/>
          <w:sz w:val="28"/>
          <w:szCs w:val="28"/>
          <w:vertAlign w:val="superscript"/>
          <w:rtl/>
        </w:rPr>
        <w:footnoteReference w:customMarkFollows="1" w:id="15"/>
        <w:t>(6)</w:t>
      </w:r>
      <w:r w:rsidRPr="004D6F14">
        <w:rPr>
          <w:rFonts w:asciiTheme="minorBidi" w:eastAsia="Times New Roman" w:hAnsiTheme="minorBidi"/>
          <w:sz w:val="28"/>
          <w:szCs w:val="28"/>
          <w:rtl/>
        </w:rPr>
        <w:t xml:space="preserve"> . وإذا امتنع الشخص عن الخضوع </w:t>
      </w:r>
      <w:r w:rsidRPr="004D6F14">
        <w:rPr>
          <w:rFonts w:asciiTheme="minorBidi" w:eastAsia="Times New Roman" w:hAnsiTheme="minorBidi" w:hint="cs"/>
          <w:sz w:val="28"/>
          <w:szCs w:val="28"/>
          <w:rtl/>
        </w:rPr>
        <w:t>لأخذ</w:t>
      </w:r>
      <w:r w:rsidRPr="004D6F14">
        <w:rPr>
          <w:rFonts w:asciiTheme="minorBidi" w:eastAsia="Times New Roman" w:hAnsiTheme="minorBidi"/>
          <w:sz w:val="28"/>
          <w:szCs w:val="28"/>
          <w:rtl/>
        </w:rPr>
        <w:t xml:space="preserve"> عينة من دمه فإن امتناعه هذا يعد جريمة يجوز ان يعاقب عليها بالحبس مدة قد تصل إلى سنة ، ثم صدر قانون ( 9 / تموز / 1970 ) الذي جعل في المادة الاولى منه تحليل الدم إلزامياً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أما الخضوع لاختبارات الكحول نتيجة وجود رائحة في زفير المتهم فلا يعاقب القانون المتهم الذي يرفض الخضوع للاختبار ، ولكنه يعد هذا الرفض موجبا </w:t>
      </w:r>
      <w:r w:rsidRPr="004D6F14">
        <w:rPr>
          <w:rFonts w:asciiTheme="minorBidi" w:eastAsia="Times New Roman" w:hAnsiTheme="minorBidi" w:hint="cs"/>
          <w:sz w:val="28"/>
          <w:szCs w:val="28"/>
          <w:rtl/>
        </w:rPr>
        <w:t>لأخذ</w:t>
      </w:r>
      <w:r w:rsidRPr="004D6F14">
        <w:rPr>
          <w:rFonts w:asciiTheme="minorBidi" w:eastAsia="Times New Roman" w:hAnsiTheme="minorBidi"/>
          <w:sz w:val="28"/>
          <w:szCs w:val="28"/>
          <w:rtl/>
        </w:rPr>
        <w:t xml:space="preserve"> عينة من دمه </w:t>
      </w:r>
      <w:r w:rsidRPr="004D6F14">
        <w:rPr>
          <w:rFonts w:asciiTheme="minorBidi" w:eastAsia="Times New Roman" w:hAnsiTheme="minorBidi"/>
          <w:sz w:val="28"/>
          <w:szCs w:val="28"/>
          <w:vertAlign w:val="superscript"/>
          <w:rtl/>
        </w:rPr>
        <w:footnoteReference w:customMarkFollows="1" w:id="16"/>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أما القانون البلجيكي فيشترط </w:t>
      </w:r>
      <w:r w:rsidRPr="004D6F14">
        <w:rPr>
          <w:rFonts w:asciiTheme="minorBidi" w:eastAsia="Times New Roman" w:hAnsiTheme="minorBidi" w:hint="cs"/>
          <w:sz w:val="28"/>
          <w:szCs w:val="28"/>
          <w:rtl/>
        </w:rPr>
        <w:t>لإجراء</w:t>
      </w:r>
      <w:r w:rsidRPr="004D6F14">
        <w:rPr>
          <w:rFonts w:asciiTheme="minorBidi" w:eastAsia="Times New Roman" w:hAnsiTheme="minorBidi"/>
          <w:sz w:val="28"/>
          <w:szCs w:val="28"/>
          <w:rtl/>
        </w:rPr>
        <w:t xml:space="preserve"> تحليل الدم شروط محددة وهي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p>
    <w:p w:rsidR="004D6F14" w:rsidRPr="004D6F14" w:rsidRDefault="004D6F14" w:rsidP="004D6F14">
      <w:pPr>
        <w:spacing w:after="0" w:line="240" w:lineRule="auto"/>
        <w:ind w:left="990" w:hanging="425"/>
        <w:jc w:val="lowKashida"/>
        <w:rPr>
          <w:rFonts w:asciiTheme="minorBidi" w:eastAsia="Times New Roman" w:hAnsiTheme="minorBidi"/>
          <w:sz w:val="28"/>
          <w:szCs w:val="28"/>
          <w:rtl/>
        </w:rPr>
      </w:pPr>
      <w:r w:rsidRPr="004D6F14">
        <w:rPr>
          <w:rFonts w:asciiTheme="minorBidi" w:eastAsia="Times New Roman" w:hAnsiTheme="minorBidi"/>
          <w:sz w:val="28"/>
          <w:szCs w:val="28"/>
          <w:rtl/>
        </w:rPr>
        <w:t>1-ان يكون المشتبه فيه في حالة قيادة شاذة .</w:t>
      </w:r>
    </w:p>
    <w:p w:rsidR="004D6F14" w:rsidRPr="004D6F14" w:rsidRDefault="004D6F14" w:rsidP="004D6F14">
      <w:pPr>
        <w:spacing w:after="0" w:line="240" w:lineRule="auto"/>
        <w:ind w:left="990" w:hanging="425"/>
        <w:jc w:val="lowKashida"/>
        <w:rPr>
          <w:rFonts w:asciiTheme="minorBidi" w:eastAsia="Times New Roman" w:hAnsiTheme="minorBidi"/>
          <w:sz w:val="28"/>
          <w:szCs w:val="28"/>
          <w:rtl/>
        </w:rPr>
      </w:pPr>
      <w:r w:rsidRPr="004D6F14">
        <w:rPr>
          <w:rFonts w:asciiTheme="minorBidi" w:eastAsia="Times New Roman" w:hAnsiTheme="minorBidi"/>
          <w:sz w:val="28"/>
          <w:szCs w:val="28"/>
          <w:rtl/>
        </w:rPr>
        <w:t>2- ان يترتب على ذلك ارتكاب حادث نسب إلى المشتبه به ، فيطلب رجل الشرطة من المتهم التوقف عن القيادة لمدة ساعتين ، فاذا رفض يستوجب خضوعه لاختبار تحليل الدم فاذا رفض وجب ادانته كما لو كان قد ادين وهو في حالة سكر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وقد اوجب قانون الإجراءات الجنائية السويدي فحص المشتبه به جسمانيا ، واجاز تحليل الدم فضلاً عن الفحوصات الطبية الاخرى على ان يتم ذلك بواسطة طبيب </w:t>
      </w:r>
      <w:r w:rsidRPr="004D6F14">
        <w:rPr>
          <w:rFonts w:asciiTheme="minorBidi" w:eastAsia="Times New Roman" w:hAnsiTheme="minorBidi"/>
          <w:sz w:val="28"/>
          <w:szCs w:val="28"/>
          <w:vertAlign w:val="superscript"/>
          <w:rtl/>
        </w:rPr>
        <w:footnoteReference w:customMarkFollows="1" w:id="17"/>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وتقضي القوانين في الولايات المتحدة بالزام سائقي السيارات المخمورين او الذين يشتبه في وقوعهم تحت تأثير المخدر الخضوع لفحص الدم ، وفي حالة رفضهم يتم سحب رخصة القيادة منهم . ان هذا الاجراء من شانه ان يحمل المشتبه فيهم على الخضوع اراديا للفحص . واوجبت القوانين ان يتم الفحص بواسطة اشخاص مرخص لهم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اما في انكلترا فلا يجوز اجبار شخص على الفحص الطبي او اخذ عينة من دمه إلا إذا كان هناك نص قانوني يجيز ذلك . فعلى سبيل المثال ينص قانون السير في الطرقات لسنة 1972 على جواز طلب رجل الشرطة من أي شخص يقود سيارة او يحاول قيادة سيارة على </w:t>
      </w:r>
      <w:r w:rsidRPr="004D6F14">
        <w:rPr>
          <w:rFonts w:asciiTheme="minorBidi" w:eastAsia="Times New Roman" w:hAnsiTheme="minorBidi"/>
          <w:sz w:val="28"/>
          <w:szCs w:val="28"/>
          <w:rtl/>
        </w:rPr>
        <w:lastRenderedPageBreak/>
        <w:t xml:space="preserve">طريق او في مكان عام اعطائه نفحة من نفسه ، وذلك لتحليلها إذا قامت لديه أسباب معقولة على انه شرب الكحول </w:t>
      </w:r>
      <w:r w:rsidRPr="004D6F14">
        <w:rPr>
          <w:rFonts w:asciiTheme="minorBidi" w:eastAsia="Times New Roman" w:hAnsiTheme="minorBidi"/>
          <w:sz w:val="28"/>
          <w:szCs w:val="28"/>
          <w:vertAlign w:val="superscript"/>
          <w:rtl/>
        </w:rPr>
        <w:footnoteReference w:customMarkFollows="1" w:id="18"/>
        <w:t>(3)</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وفي مصر يجيز قانون المرور رقم 16 لسنة 1973 لرجال الشرطة اخضاع الشخص الذي يقود سيارة وهو في حالة سكر او تحت تأثير المخدر لتحليل الدم ، كما تقرر رسميا استخدام بالونات اختبار الكحول لكشف السائقين المخمورين </w:t>
      </w:r>
      <w:r w:rsidRPr="004D6F14">
        <w:rPr>
          <w:rFonts w:asciiTheme="minorBidi" w:eastAsia="Times New Roman" w:hAnsiTheme="minorBidi"/>
          <w:sz w:val="28"/>
          <w:szCs w:val="28"/>
          <w:vertAlign w:val="superscript"/>
          <w:rtl/>
        </w:rPr>
        <w:footnoteReference w:customMarkFollows="1" w:id="19"/>
        <w:t>(4)</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أما عن موقف القضاء ، فنجد ان القضاء الفرنسي والايطالي والانكليزي يجيز استخدام تلك الوسيلة في التحقيق ولكن بتوافر شروط معينة ، أما القضاء الامريكي فانه يتأرجح بين القبول والرفض </w:t>
      </w:r>
      <w:r w:rsidRPr="004D6F14">
        <w:rPr>
          <w:rFonts w:asciiTheme="minorBidi" w:eastAsia="Times New Roman" w:hAnsiTheme="minorBidi"/>
          <w:sz w:val="28"/>
          <w:szCs w:val="28"/>
          <w:vertAlign w:val="superscript"/>
          <w:rtl/>
        </w:rPr>
        <w:footnoteReference w:customMarkFollows="1" w:id="20"/>
        <w:t>(1)</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وبالنسبة ( لغسيل المعدة ) </w:t>
      </w:r>
      <w:r w:rsidRPr="004D6F14">
        <w:rPr>
          <w:rFonts w:asciiTheme="minorBidi" w:eastAsia="Times New Roman" w:hAnsiTheme="minorBidi"/>
          <w:sz w:val="28"/>
          <w:szCs w:val="28"/>
          <w:vertAlign w:val="superscript"/>
          <w:rtl/>
        </w:rPr>
        <w:footnoteReference w:customMarkFollows="1" w:id="21"/>
        <w:t>(2)</w:t>
      </w:r>
      <w:r w:rsidRPr="004D6F14">
        <w:rPr>
          <w:rFonts w:asciiTheme="minorBidi" w:eastAsia="Times New Roman" w:hAnsiTheme="minorBidi"/>
          <w:sz w:val="28"/>
          <w:szCs w:val="28"/>
          <w:rtl/>
        </w:rPr>
        <w:t xml:space="preserve"> فإنه يعد من اعمال الخبرة بينما يرى البعض انه اجراء تفتيشي </w:t>
      </w:r>
      <w:proofErr w:type="spellStart"/>
      <w:r w:rsidRPr="004D6F14">
        <w:rPr>
          <w:rFonts w:asciiTheme="minorBidi" w:eastAsia="Times New Roman" w:hAnsiTheme="minorBidi"/>
          <w:sz w:val="28"/>
          <w:szCs w:val="28"/>
          <w:rtl/>
        </w:rPr>
        <w:t>لانه</w:t>
      </w:r>
      <w:proofErr w:type="spellEnd"/>
      <w:r w:rsidRPr="004D6F14">
        <w:rPr>
          <w:rFonts w:asciiTheme="minorBidi" w:eastAsia="Times New Roman" w:hAnsiTheme="minorBidi"/>
          <w:sz w:val="28"/>
          <w:szCs w:val="28"/>
          <w:rtl/>
        </w:rPr>
        <w:t xml:space="preserve"> يقصد بتفتيش الشخص تفتيش كل ما يتعلق بكيانه المادي وما يتصل به ، ويشمل كيانه المادي ، اعضائه الخارجية والداخلية على السواء . ولقد تباينت أحكام القضاء بشأن هذه الوسيلة فقد ذهبت محكمة النقض المصرية إلى مشروعية هذه الوسيلة والدليل المتحصل منها بقولها:- " متى كان الاكراه الذي وقع للمتهم بالقدر اللازم لتمكين طبيب المستشفى من الحصول على متحصلات معدته فلا تأثير لذلك على سلامة الإجراءات </w:t>
      </w:r>
      <w:r w:rsidRPr="004D6F14">
        <w:rPr>
          <w:rFonts w:asciiTheme="minorBidi" w:eastAsia="Times New Roman" w:hAnsiTheme="minorBidi"/>
          <w:sz w:val="28"/>
          <w:szCs w:val="28"/>
          <w:vertAlign w:val="superscript"/>
          <w:rtl/>
        </w:rPr>
        <w:footnoteReference w:customMarkFollows="1" w:id="22"/>
        <w:t>()</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أما القضاء الامريكي فهو متباين في احكامه فمرة يجيز ذلك ومرة اخرى يعده من الاجراءات الوحشية التي تنطوي على اعتداء على الكيان المادي للمرء </w:t>
      </w:r>
      <w:r w:rsidRPr="004D6F14">
        <w:rPr>
          <w:rFonts w:asciiTheme="minorBidi" w:eastAsia="Times New Roman" w:hAnsiTheme="minorBidi"/>
          <w:sz w:val="28"/>
          <w:szCs w:val="28"/>
          <w:vertAlign w:val="superscript"/>
          <w:rtl/>
        </w:rPr>
        <w:footnoteReference w:customMarkFollows="1" w:id="23"/>
        <w:t>()</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وبالنسبة </w:t>
      </w:r>
      <w:r w:rsidRPr="004D6F14">
        <w:rPr>
          <w:rFonts w:asciiTheme="minorBidi" w:eastAsia="Times New Roman" w:hAnsiTheme="minorBidi" w:hint="cs"/>
          <w:sz w:val="28"/>
          <w:szCs w:val="28"/>
          <w:rtl/>
        </w:rPr>
        <w:t>لأخذ</w:t>
      </w:r>
      <w:r w:rsidRPr="004D6F14">
        <w:rPr>
          <w:rFonts w:asciiTheme="minorBidi" w:eastAsia="Times New Roman" w:hAnsiTheme="minorBidi"/>
          <w:sz w:val="28"/>
          <w:szCs w:val="28"/>
          <w:rtl/>
        </w:rPr>
        <w:t xml:space="preserve"> البصمات </w:t>
      </w:r>
      <w:r w:rsidRPr="004D6F14">
        <w:rPr>
          <w:rFonts w:asciiTheme="minorBidi" w:eastAsia="Times New Roman" w:hAnsiTheme="minorBidi" w:hint="cs"/>
          <w:sz w:val="28"/>
          <w:szCs w:val="28"/>
          <w:rtl/>
        </w:rPr>
        <w:t>فإنها</w:t>
      </w:r>
      <w:r w:rsidRPr="004D6F14">
        <w:rPr>
          <w:rFonts w:asciiTheme="minorBidi" w:eastAsia="Times New Roman" w:hAnsiTheme="minorBidi"/>
          <w:sz w:val="28"/>
          <w:szCs w:val="28"/>
          <w:rtl/>
        </w:rPr>
        <w:t xml:space="preserve"> لا تثير جدلا في الفقه ولا في القضاء ، وان الدليل المستمد منها يعد دليلا له حجيته القانونية في اثبات الادانة او البراءة </w:t>
      </w:r>
      <w:r w:rsidRPr="004D6F14">
        <w:rPr>
          <w:rFonts w:asciiTheme="minorBidi" w:eastAsia="Times New Roman" w:hAnsiTheme="minorBidi"/>
          <w:sz w:val="28"/>
          <w:szCs w:val="28"/>
          <w:vertAlign w:val="superscript"/>
          <w:rtl/>
        </w:rPr>
        <w:footnoteReference w:customMarkFollows="1" w:id="24"/>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 اما بالنسبة لموقف القوانين من هذه المسألة فقد نصت بعض القوانين على اخذ بصمة الاصابع بصورة صريحة كالقانون الايطالي الذي اجاز اخذ بصمة الاشخاص الخطرين او المشتبه بهم . كما اجاز المشرع السوداني اخذ بصمة أي شخص او صورته الفوتوغرافية إذا وجد ان ذلك في مصلحة التحقيق . أما البعض الاخر فلم ينص صراحة على امكانية اخذ بصمة المتهم كالمشرع المصري الذي لم ينص صراحة على امكانية اخذ بصمة المتهم الا ان ذلك لا يعني عدم اللجوء لهذه الوسيلة وهذا ما اخذ به القضاء المصري </w:t>
      </w:r>
      <w:r w:rsidRPr="004D6F14">
        <w:rPr>
          <w:rFonts w:asciiTheme="minorBidi" w:eastAsia="Times New Roman" w:hAnsiTheme="minorBidi"/>
          <w:sz w:val="28"/>
          <w:szCs w:val="28"/>
          <w:vertAlign w:val="superscript"/>
          <w:rtl/>
        </w:rPr>
        <w:footnoteReference w:customMarkFollows="1" w:id="25"/>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lastRenderedPageBreak/>
        <w:t xml:space="preserve">أما </w:t>
      </w:r>
      <w:r w:rsidRPr="004D6F14">
        <w:rPr>
          <w:rFonts w:asciiTheme="minorBidi" w:eastAsia="Times New Roman" w:hAnsiTheme="minorBidi"/>
          <w:b/>
          <w:bCs/>
          <w:sz w:val="28"/>
          <w:szCs w:val="28"/>
          <w:rtl/>
        </w:rPr>
        <w:t>المشرع العراقي</w:t>
      </w:r>
      <w:r w:rsidRPr="004D6F14">
        <w:rPr>
          <w:rFonts w:asciiTheme="minorBidi" w:eastAsia="Times New Roman" w:hAnsiTheme="minorBidi"/>
          <w:sz w:val="28"/>
          <w:szCs w:val="28"/>
          <w:rtl/>
        </w:rPr>
        <w:t xml:space="preserve"> فموقفه واضح وصريح إذ اجاز اللجوء لفحص الدم واخذ البصمات وقليل من الشعر والاظافر وغيرها من الامور التي تفيد التحقيق كالبصاق واليوريا وغسيل المعدة </w:t>
      </w:r>
      <w:r w:rsidRPr="004D6F14">
        <w:rPr>
          <w:rFonts w:asciiTheme="minorBidi" w:eastAsia="Times New Roman" w:hAnsiTheme="minorBidi"/>
          <w:sz w:val="28"/>
          <w:szCs w:val="28"/>
          <w:vertAlign w:val="superscript"/>
          <w:rtl/>
        </w:rPr>
        <w:footnoteReference w:customMarkFollows="1" w:id="26"/>
        <w:t>(</w:t>
      </w:r>
      <w:r w:rsidRPr="004D6F14">
        <w:rPr>
          <w:rFonts w:asciiTheme="minorBidi" w:eastAsia="Times New Roman" w:hAnsiTheme="minorBidi" w:hint="cs"/>
          <w:sz w:val="28"/>
          <w:szCs w:val="28"/>
          <w:vertAlign w:val="superscript"/>
          <w:rtl/>
        </w:rPr>
        <w:t xml:space="preserve"> </w:t>
      </w:r>
      <w:r w:rsidRPr="004D6F14">
        <w:rPr>
          <w:rFonts w:asciiTheme="minorBidi" w:eastAsia="Times New Roman" w:hAnsiTheme="minorBidi"/>
          <w:sz w:val="28"/>
          <w:szCs w:val="28"/>
          <w:vertAlign w:val="superscript"/>
          <w:rtl/>
        </w:rPr>
        <w:t>)</w:t>
      </w:r>
      <w:r w:rsidRPr="004D6F14">
        <w:rPr>
          <w:rFonts w:asciiTheme="minorBidi" w:eastAsia="Times New Roman" w:hAnsiTheme="minorBidi"/>
          <w:sz w:val="28"/>
          <w:szCs w:val="28"/>
          <w:rtl/>
        </w:rPr>
        <w:t xml:space="preserve"> ، وعليه فإن الارغام الذي يمكن لقاضي التحقيق والمحقق استخدامه مع المتهم الممتنع عن اجراء الفحص هو تهديده </w:t>
      </w:r>
      <w:proofErr w:type="spellStart"/>
      <w:r w:rsidRPr="004D6F14">
        <w:rPr>
          <w:rFonts w:asciiTheme="minorBidi" w:eastAsia="Times New Roman" w:hAnsiTheme="minorBidi"/>
          <w:sz w:val="28"/>
          <w:szCs w:val="28"/>
          <w:rtl/>
        </w:rPr>
        <w:t>بايقاع</w:t>
      </w:r>
      <w:proofErr w:type="spellEnd"/>
      <w:r w:rsidRPr="004D6F14">
        <w:rPr>
          <w:rFonts w:asciiTheme="minorBidi" w:eastAsia="Times New Roman" w:hAnsiTheme="minorBidi"/>
          <w:sz w:val="28"/>
          <w:szCs w:val="28"/>
          <w:rtl/>
        </w:rPr>
        <w:t xml:space="preserve"> العقاب القانوني عليه لامتناعه عن تنفيذ امر صدر اليه من سلطة قضائية مختصة ، وهذا ما ذهب اليه الاستاذ عبد الامير </w:t>
      </w:r>
      <w:proofErr w:type="spellStart"/>
      <w:r w:rsidRPr="004D6F14">
        <w:rPr>
          <w:rFonts w:asciiTheme="minorBidi" w:eastAsia="Times New Roman" w:hAnsiTheme="minorBidi"/>
          <w:sz w:val="28"/>
          <w:szCs w:val="28"/>
          <w:rtl/>
        </w:rPr>
        <w:t>العكيلي</w:t>
      </w:r>
      <w:proofErr w:type="spellEnd"/>
      <w:r w:rsidRPr="004D6F14">
        <w:rPr>
          <w:rFonts w:asciiTheme="minorBidi" w:eastAsia="Times New Roman" w:hAnsiTheme="minorBidi"/>
          <w:sz w:val="28"/>
          <w:szCs w:val="28"/>
          <w:rtl/>
        </w:rPr>
        <w:t xml:space="preserve"> ونحن بدورنا نؤيد ذلك فمادام </w:t>
      </w:r>
      <w:proofErr w:type="spellStart"/>
      <w:r w:rsidRPr="004D6F14">
        <w:rPr>
          <w:rFonts w:asciiTheme="minorBidi" w:eastAsia="Times New Roman" w:hAnsiTheme="minorBidi"/>
          <w:sz w:val="28"/>
          <w:szCs w:val="28"/>
          <w:rtl/>
        </w:rPr>
        <w:t>بالامكان</w:t>
      </w:r>
      <w:proofErr w:type="spellEnd"/>
      <w:r w:rsidRPr="004D6F14">
        <w:rPr>
          <w:rFonts w:asciiTheme="minorBidi" w:eastAsia="Times New Roman" w:hAnsiTheme="minorBidi"/>
          <w:sz w:val="28"/>
          <w:szCs w:val="28"/>
          <w:rtl/>
        </w:rPr>
        <w:t xml:space="preserve"> اجبار المتهم على الخضوع للفحص باستخدام وسائل الارغام القانونية فيجب اللجوء اليها بدلا من وسائل الاكراه المادية التي تمثل مساسا بجسم المتهم ، ولان استخدام القوة المادية ضد المتهم يتعارض مع احكام الدستور </w:t>
      </w:r>
      <w:r w:rsidRPr="004D6F14">
        <w:rPr>
          <w:rFonts w:asciiTheme="minorBidi" w:eastAsia="Times New Roman" w:hAnsiTheme="minorBidi"/>
          <w:sz w:val="28"/>
          <w:szCs w:val="28"/>
          <w:vertAlign w:val="superscript"/>
          <w:rtl/>
        </w:rPr>
        <w:footnoteReference w:customMarkFollows="1" w:id="27"/>
        <w:t>(2)</w:t>
      </w:r>
      <w:r w:rsidRPr="004D6F14">
        <w:rPr>
          <w:rFonts w:asciiTheme="minorBidi" w:eastAsia="Times New Roman" w:hAnsiTheme="minorBidi"/>
          <w:sz w:val="28"/>
          <w:szCs w:val="28"/>
          <w:rtl/>
        </w:rPr>
        <w:t xml:space="preserve"> . ولهذا ندعو المشرع العراقي إلى النص على الجزاء المترتب على امتناع المتهم من الخضوع للفحص كي لا يبقى الامر خاضعا لسلطة التحقيق التقديرية . كما فعل قانون اصول المحاكمات الجزائية البغدادي ( الملغي ) فقد نصت المادة الاولى / ب من الذيل رقم 5 لسنة 1941 على ما يلي </w:t>
      </w:r>
      <w:r w:rsidRPr="004D6F14">
        <w:rPr>
          <w:rFonts w:asciiTheme="minorBidi" w:eastAsia="Times New Roman" w:hAnsiTheme="minorBidi"/>
          <w:sz w:val="28"/>
          <w:szCs w:val="28"/>
          <w:rtl/>
        </w:rPr>
        <w:br/>
        <w:t xml:space="preserve">( إذا امتنع المكلف عن تلبية الطلب يصبح عرضة للعقاب المنصوص عليه في المادة 126 ق ع ، وللمحكمة ان تعد امتناعه بمثابة دليل عليه ) . </w:t>
      </w:r>
    </w:p>
    <w:p w:rsidR="004D6F14" w:rsidRPr="004D6F14" w:rsidRDefault="004D6F14" w:rsidP="004D6F14">
      <w:pPr>
        <w:spacing w:after="0" w:line="240" w:lineRule="auto"/>
        <w:ind w:left="707" w:hanging="707"/>
        <w:jc w:val="lowKashida"/>
        <w:rPr>
          <w:rFonts w:asciiTheme="minorBidi" w:eastAsia="Times New Roman" w:hAnsiTheme="minorBidi"/>
          <w:b/>
          <w:bCs/>
          <w:sz w:val="28"/>
          <w:szCs w:val="28"/>
          <w:rtl/>
        </w:rPr>
      </w:pPr>
      <w:r w:rsidRPr="004D6F14">
        <w:rPr>
          <w:rFonts w:asciiTheme="minorBidi" w:eastAsia="Times New Roman" w:hAnsiTheme="minorBidi" w:hint="cs"/>
          <w:b/>
          <w:bCs/>
          <w:sz w:val="28"/>
          <w:szCs w:val="28"/>
          <w:rtl/>
        </w:rPr>
        <w:t>رابعاً</w:t>
      </w:r>
      <w:r w:rsidRPr="004D6F14">
        <w:rPr>
          <w:rFonts w:asciiTheme="minorBidi" w:eastAsia="Times New Roman" w:hAnsiTheme="minorBidi"/>
          <w:b/>
          <w:bCs/>
          <w:sz w:val="28"/>
          <w:szCs w:val="28"/>
          <w:rtl/>
        </w:rPr>
        <w:t xml:space="preserve"> </w:t>
      </w:r>
      <w:r w:rsidRPr="004D6F14">
        <w:rPr>
          <w:rFonts w:asciiTheme="minorBidi" w:eastAsia="Times New Roman" w:hAnsiTheme="minorBidi"/>
          <w:b/>
          <w:bCs/>
          <w:sz w:val="28"/>
          <w:szCs w:val="28"/>
        </w:rPr>
        <w:t>–</w:t>
      </w:r>
      <w:r w:rsidRPr="004D6F14">
        <w:rPr>
          <w:rFonts w:asciiTheme="minorBidi" w:eastAsia="Times New Roman" w:hAnsiTheme="minorBidi"/>
          <w:b/>
          <w:bCs/>
          <w:sz w:val="28"/>
          <w:szCs w:val="28"/>
          <w:rtl/>
        </w:rPr>
        <w:t xml:space="preserve"> حق المتهم في الاستعانة بخبير استشاري </w:t>
      </w:r>
    </w:p>
    <w:p w:rsidR="004D6F14" w:rsidRPr="004D6F14" w:rsidRDefault="004D6F14" w:rsidP="004D6F14">
      <w:pPr>
        <w:spacing w:after="0" w:line="240" w:lineRule="auto"/>
        <w:ind w:left="707" w:hanging="707"/>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نصت بعض القوانين الاجرائية على حق المتهم في الاستعانة بخبير استشاري كالقانون الليبي والمصري ، فقد نصت المادة 72 / اجراءات جنائية ليبي على ما </w:t>
      </w:r>
      <w:r w:rsidRPr="004D6F14">
        <w:rPr>
          <w:rFonts w:asciiTheme="minorBidi" w:eastAsia="Times New Roman" w:hAnsiTheme="minorBidi" w:hint="cs"/>
          <w:sz w:val="28"/>
          <w:szCs w:val="28"/>
          <w:rtl/>
        </w:rPr>
        <w:t>يأتي</w:t>
      </w:r>
      <w:r w:rsidRPr="004D6F14">
        <w:rPr>
          <w:rFonts w:asciiTheme="minorBidi" w:eastAsia="Times New Roman" w:hAnsiTheme="minorBidi"/>
          <w:sz w:val="28"/>
          <w:szCs w:val="28"/>
          <w:rtl/>
        </w:rPr>
        <w:t xml:space="preserve"> ( للمتهم ان يستعين بخبير استشاري ويطلب تمكينه من الاطلاع على الاوراق وسائر ما سبق تقديمه للخبير المعين من قبل القاضي على ان لا يترتب على ذلك تأخير السير في الدعوى ) ، وبالحكم نفسه اخذت المادة 88 إجراءات جنائية مصري </w:t>
      </w:r>
      <w:r w:rsidRPr="004D6F14">
        <w:rPr>
          <w:rFonts w:asciiTheme="minorBidi" w:eastAsia="Times New Roman" w:hAnsiTheme="minorBidi"/>
          <w:sz w:val="28"/>
          <w:szCs w:val="28"/>
          <w:vertAlign w:val="superscript"/>
          <w:rtl/>
        </w:rPr>
        <w:footnoteReference w:customMarkFollows="1" w:id="28"/>
        <w:t>(3)</w:t>
      </w:r>
      <w:r w:rsidRPr="004D6F14">
        <w:rPr>
          <w:rFonts w:asciiTheme="minorBidi" w:eastAsia="Times New Roman" w:hAnsiTheme="minorBidi"/>
          <w:sz w:val="28"/>
          <w:szCs w:val="28"/>
          <w:rtl/>
        </w:rPr>
        <w:t xml:space="preserve"> . ان استعانة المتهم بالخبير الاستشاري الخاص يعد ضمانة له ضد الاعمال التي قد تقع على جسمه نتيجة للراي الذي يبديه خبير او اكثر ممن تنتدبهم سلطة التحقيق ، فقد يوصي الخبراء في تقاريرهم بضرورة خضوع المتهم لفحوصات مختبرية لابد منها ، في حين يرى الخبير الاستشاري الخاص بالمتهم عدم ضرورة ذلك </w:t>
      </w:r>
      <w:r w:rsidRPr="004D6F14">
        <w:rPr>
          <w:rFonts w:asciiTheme="minorBidi" w:eastAsia="Times New Roman" w:hAnsiTheme="minorBidi" w:hint="cs"/>
          <w:sz w:val="28"/>
          <w:szCs w:val="28"/>
          <w:rtl/>
        </w:rPr>
        <w:t>لأسباب</w:t>
      </w:r>
      <w:r w:rsidRPr="004D6F14">
        <w:rPr>
          <w:rFonts w:asciiTheme="minorBidi" w:eastAsia="Times New Roman" w:hAnsiTheme="minorBidi"/>
          <w:sz w:val="28"/>
          <w:szCs w:val="28"/>
          <w:rtl/>
        </w:rPr>
        <w:t xml:space="preserve"> يقدمها لسلطة التحقيق وتقتنع بها .</w:t>
      </w:r>
    </w:p>
    <w:p w:rsidR="004D6F14" w:rsidRPr="004D6F14" w:rsidRDefault="004D6F14" w:rsidP="004D6F14">
      <w:pPr>
        <w:spacing w:after="0" w:line="240" w:lineRule="auto"/>
        <w:ind w:firstLine="565"/>
        <w:jc w:val="lowKashida"/>
        <w:rPr>
          <w:rFonts w:asciiTheme="minorBidi" w:eastAsia="Times New Roman" w:hAnsiTheme="minorBidi"/>
          <w:sz w:val="28"/>
          <w:szCs w:val="28"/>
          <w:rtl/>
        </w:rPr>
      </w:pPr>
      <w:r w:rsidRPr="004D6F14">
        <w:rPr>
          <w:rFonts w:asciiTheme="minorBidi" w:eastAsia="Times New Roman" w:hAnsiTheme="minorBidi"/>
          <w:sz w:val="28"/>
          <w:szCs w:val="28"/>
          <w:rtl/>
        </w:rPr>
        <w:t xml:space="preserve">ان المشرع العراقي في قانون اصول المحاكمات الجزائية لم يورد نصاً مماثلاً لما ورد في القانون الليبي والمصري ، ولذلك فنحن نضم صوتنا الى صوت الداعين إلى ضرورة ايراد نص يماثل ما ورد في القانونين أعلاه ، لما يشكله من ضمانة للمتهم لحمايته من الاختبارات التي قد تقع على جسمه نتيجة </w:t>
      </w:r>
      <w:r w:rsidRPr="004D6F14">
        <w:rPr>
          <w:rFonts w:asciiTheme="minorBidi" w:eastAsia="Times New Roman" w:hAnsiTheme="minorBidi" w:hint="cs"/>
          <w:sz w:val="28"/>
          <w:szCs w:val="28"/>
          <w:rtl/>
        </w:rPr>
        <w:t>الآراء</w:t>
      </w:r>
      <w:r w:rsidRPr="004D6F14">
        <w:rPr>
          <w:rFonts w:asciiTheme="minorBidi" w:eastAsia="Times New Roman" w:hAnsiTheme="minorBidi"/>
          <w:sz w:val="28"/>
          <w:szCs w:val="28"/>
          <w:rtl/>
        </w:rPr>
        <w:t xml:space="preserve"> التي تطرح أثناء اجراءات التحقيق من الجهات المعنية .</w:t>
      </w:r>
    </w:p>
    <w:p w:rsidR="00C20E54" w:rsidRPr="00B87747" w:rsidRDefault="00C20E54" w:rsidP="00BC455F">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CA2" w:rsidRDefault="000F6CA2" w:rsidP="006D374C">
      <w:pPr>
        <w:spacing w:after="0" w:line="240" w:lineRule="auto"/>
      </w:pPr>
      <w:r>
        <w:separator/>
      </w:r>
    </w:p>
  </w:endnote>
  <w:endnote w:type="continuationSeparator" w:id="0">
    <w:p w:rsidR="000F6CA2" w:rsidRDefault="000F6CA2"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CA2" w:rsidRDefault="000F6CA2" w:rsidP="006D374C">
      <w:pPr>
        <w:spacing w:after="0" w:line="240" w:lineRule="auto"/>
      </w:pPr>
      <w:r>
        <w:separator/>
      </w:r>
    </w:p>
  </w:footnote>
  <w:footnote w:type="continuationSeparator" w:id="0">
    <w:p w:rsidR="000F6CA2" w:rsidRDefault="000F6CA2" w:rsidP="006D374C">
      <w:pPr>
        <w:spacing w:after="0" w:line="240" w:lineRule="auto"/>
      </w:pPr>
      <w:r>
        <w:continuationSeparator/>
      </w:r>
    </w:p>
  </w:footnote>
  <w:footnote w:id="1">
    <w:p w:rsidR="004D6F14" w:rsidRDefault="004D6F14" w:rsidP="004D6F14"/>
    <w:p w:rsidR="004D6F14" w:rsidRDefault="004D6F14" w:rsidP="004D6F14">
      <w:pPr>
        <w:pStyle w:val="a4"/>
        <w:ind w:left="282" w:hanging="282"/>
        <w:jc w:val="lowKashida"/>
        <w:rPr>
          <w:rtl/>
        </w:rPr>
      </w:pPr>
    </w:p>
  </w:footnote>
  <w:footnote w:id="2">
    <w:p w:rsidR="004D6F14" w:rsidRDefault="004D6F14" w:rsidP="004D6F14"/>
    <w:p w:rsidR="004D6F14" w:rsidRDefault="004D6F14" w:rsidP="004D6F14">
      <w:pPr>
        <w:pStyle w:val="a4"/>
        <w:jc w:val="lowKashida"/>
        <w:rPr>
          <w:rtl/>
        </w:rPr>
      </w:pPr>
    </w:p>
  </w:footnote>
  <w:footnote w:id="3">
    <w:p w:rsidR="004D6F14" w:rsidRDefault="004D6F14" w:rsidP="004D6F14"/>
    <w:p w:rsidR="004D6F14" w:rsidRDefault="004D6F14" w:rsidP="004D6F14">
      <w:pPr>
        <w:pStyle w:val="a4"/>
        <w:ind w:left="282" w:hanging="282"/>
        <w:jc w:val="lowKashida"/>
        <w:rPr>
          <w:rtl/>
        </w:rPr>
      </w:pPr>
    </w:p>
  </w:footnote>
  <w:footnote w:id="4">
    <w:p w:rsidR="004D6F14" w:rsidRDefault="004D6F14" w:rsidP="004D6F14"/>
    <w:p w:rsidR="004D6F14" w:rsidRDefault="004D6F14" w:rsidP="004D6F14">
      <w:pPr>
        <w:pStyle w:val="a4"/>
        <w:ind w:left="282" w:hanging="282"/>
        <w:jc w:val="lowKashida"/>
        <w:rPr>
          <w:rtl/>
        </w:rPr>
      </w:pPr>
    </w:p>
  </w:footnote>
  <w:footnote w:id="5">
    <w:p w:rsidR="004D6F14" w:rsidRDefault="004D6F14" w:rsidP="004D6F14"/>
    <w:p w:rsidR="004D6F14" w:rsidRDefault="004D6F14" w:rsidP="004D6F14">
      <w:pPr>
        <w:pStyle w:val="a4"/>
        <w:ind w:left="282" w:hanging="282"/>
        <w:jc w:val="lowKashida"/>
        <w:rPr>
          <w:rtl/>
        </w:rPr>
      </w:pPr>
    </w:p>
  </w:footnote>
  <w:footnote w:id="6">
    <w:p w:rsidR="004D6F14" w:rsidRDefault="004D6F14" w:rsidP="004D6F14"/>
    <w:p w:rsidR="004D6F14" w:rsidRDefault="004D6F14" w:rsidP="004D6F14">
      <w:pPr>
        <w:pStyle w:val="a4"/>
        <w:jc w:val="lowKashida"/>
        <w:rPr>
          <w:rtl/>
        </w:rPr>
      </w:pPr>
    </w:p>
  </w:footnote>
  <w:footnote w:id="7">
    <w:p w:rsidR="004D6F14" w:rsidRDefault="004D6F14" w:rsidP="004D6F14"/>
    <w:p w:rsidR="004D6F14" w:rsidRDefault="004D6F14" w:rsidP="004D6F14">
      <w:pPr>
        <w:pStyle w:val="a4"/>
        <w:ind w:left="282" w:hanging="282"/>
        <w:jc w:val="lowKashida"/>
        <w:rPr>
          <w:rtl/>
        </w:rPr>
      </w:pPr>
    </w:p>
  </w:footnote>
  <w:footnote w:id="8">
    <w:p w:rsidR="004D6F14" w:rsidRDefault="004D6F14" w:rsidP="004D6F14"/>
    <w:p w:rsidR="004D6F14" w:rsidRDefault="004D6F14" w:rsidP="004D6F14">
      <w:pPr>
        <w:pStyle w:val="a4"/>
        <w:ind w:left="282" w:hanging="282"/>
        <w:jc w:val="lowKashida"/>
        <w:rPr>
          <w:rtl/>
        </w:rPr>
      </w:pPr>
    </w:p>
  </w:footnote>
  <w:footnote w:id="9">
    <w:p w:rsidR="004D6F14" w:rsidRDefault="004D6F14" w:rsidP="004D6F14"/>
    <w:p w:rsidR="004D6F14" w:rsidRDefault="004D6F14" w:rsidP="004D6F14">
      <w:pPr>
        <w:pStyle w:val="a4"/>
        <w:ind w:left="282" w:hanging="282"/>
        <w:jc w:val="lowKashida"/>
        <w:rPr>
          <w:rtl/>
        </w:rPr>
      </w:pPr>
    </w:p>
  </w:footnote>
  <w:footnote w:id="10">
    <w:p w:rsidR="004D6F14" w:rsidRDefault="004D6F14" w:rsidP="004D6F14"/>
    <w:p w:rsidR="004D6F14" w:rsidRDefault="004D6F14" w:rsidP="004D6F14">
      <w:pPr>
        <w:pStyle w:val="a4"/>
        <w:ind w:left="282" w:hanging="282"/>
        <w:jc w:val="lowKashida"/>
        <w:rPr>
          <w:rtl/>
        </w:rPr>
      </w:pPr>
    </w:p>
  </w:footnote>
  <w:footnote w:id="11">
    <w:p w:rsidR="004D6F14" w:rsidRDefault="004D6F14" w:rsidP="004D6F14"/>
    <w:p w:rsidR="004D6F14" w:rsidRDefault="004D6F14" w:rsidP="004D6F14">
      <w:pPr>
        <w:pStyle w:val="a4"/>
        <w:ind w:left="282" w:hanging="282"/>
        <w:jc w:val="lowKashida"/>
        <w:rPr>
          <w:rtl/>
        </w:rPr>
      </w:pPr>
    </w:p>
  </w:footnote>
  <w:footnote w:id="12">
    <w:p w:rsidR="004D6F14" w:rsidRDefault="004D6F14" w:rsidP="004D6F14"/>
    <w:p w:rsidR="004D6F14" w:rsidRDefault="004D6F14" w:rsidP="004D6F14">
      <w:pPr>
        <w:pStyle w:val="a4"/>
        <w:jc w:val="lowKashida"/>
        <w:rPr>
          <w:rtl/>
        </w:rPr>
      </w:pPr>
    </w:p>
  </w:footnote>
  <w:footnote w:id="13">
    <w:p w:rsidR="004D6F14" w:rsidRDefault="004D6F14" w:rsidP="004D6F14"/>
    <w:p w:rsidR="004D6F14" w:rsidRDefault="004D6F14" w:rsidP="004D6F14">
      <w:pPr>
        <w:pStyle w:val="a4"/>
        <w:ind w:left="282" w:hanging="282"/>
        <w:jc w:val="lowKashida"/>
        <w:rPr>
          <w:rtl/>
        </w:rPr>
      </w:pPr>
    </w:p>
  </w:footnote>
  <w:footnote w:id="14">
    <w:p w:rsidR="004D6F14" w:rsidRDefault="004D6F14" w:rsidP="004D6F14"/>
    <w:p w:rsidR="004D6F14" w:rsidRDefault="004D6F14" w:rsidP="004D6F14">
      <w:pPr>
        <w:pStyle w:val="a4"/>
        <w:ind w:left="282" w:hanging="282"/>
        <w:jc w:val="lowKashida"/>
        <w:rPr>
          <w:rtl/>
        </w:rPr>
      </w:pPr>
    </w:p>
  </w:footnote>
  <w:footnote w:id="15">
    <w:p w:rsidR="004D6F14" w:rsidRDefault="004D6F14" w:rsidP="004D6F14"/>
    <w:p w:rsidR="004D6F14" w:rsidRDefault="004D6F14" w:rsidP="004D6F14">
      <w:pPr>
        <w:pStyle w:val="a4"/>
        <w:ind w:left="282" w:hanging="282"/>
        <w:jc w:val="lowKashida"/>
        <w:rPr>
          <w:rtl/>
        </w:rPr>
      </w:pPr>
    </w:p>
  </w:footnote>
  <w:footnote w:id="16">
    <w:p w:rsidR="004D6F14" w:rsidRDefault="004D6F14" w:rsidP="004D6F14"/>
    <w:p w:rsidR="004D6F14" w:rsidRDefault="004D6F14" w:rsidP="004D6F14">
      <w:pPr>
        <w:pStyle w:val="a4"/>
        <w:ind w:left="282" w:hanging="282"/>
        <w:jc w:val="lowKashida"/>
        <w:rPr>
          <w:rtl/>
        </w:rPr>
      </w:pPr>
    </w:p>
  </w:footnote>
  <w:footnote w:id="17">
    <w:p w:rsidR="004D6F14" w:rsidRDefault="004D6F14" w:rsidP="004D6F14"/>
    <w:p w:rsidR="004D6F14" w:rsidRDefault="004D6F14" w:rsidP="004D6F14">
      <w:pPr>
        <w:pStyle w:val="a4"/>
        <w:ind w:left="282" w:hanging="282"/>
        <w:jc w:val="lowKashida"/>
        <w:rPr>
          <w:rtl/>
        </w:rPr>
      </w:pPr>
    </w:p>
  </w:footnote>
  <w:footnote w:id="18">
    <w:p w:rsidR="004D6F14" w:rsidRDefault="004D6F14" w:rsidP="004D6F14"/>
    <w:p w:rsidR="004D6F14" w:rsidRDefault="004D6F14" w:rsidP="004D6F14">
      <w:pPr>
        <w:pStyle w:val="a4"/>
        <w:ind w:left="282" w:hanging="282"/>
        <w:jc w:val="lowKashida"/>
        <w:rPr>
          <w:rtl/>
        </w:rPr>
      </w:pPr>
    </w:p>
  </w:footnote>
  <w:footnote w:id="19">
    <w:p w:rsidR="004D6F14" w:rsidRDefault="004D6F14" w:rsidP="004D6F14"/>
    <w:p w:rsidR="004D6F14" w:rsidRDefault="004D6F14" w:rsidP="004D6F14">
      <w:pPr>
        <w:pStyle w:val="a4"/>
        <w:ind w:left="282" w:hanging="282"/>
        <w:jc w:val="lowKashida"/>
        <w:rPr>
          <w:rtl/>
        </w:rPr>
      </w:pPr>
    </w:p>
  </w:footnote>
  <w:footnote w:id="20">
    <w:p w:rsidR="004D6F14" w:rsidRDefault="004D6F14" w:rsidP="004D6F14"/>
    <w:p w:rsidR="004D6F14" w:rsidRDefault="004D6F14" w:rsidP="004D6F14">
      <w:pPr>
        <w:pStyle w:val="a4"/>
        <w:ind w:left="282" w:hanging="282"/>
        <w:rPr>
          <w:rtl/>
        </w:rPr>
      </w:pPr>
    </w:p>
  </w:footnote>
  <w:footnote w:id="21">
    <w:p w:rsidR="004D6F14" w:rsidRDefault="004D6F14" w:rsidP="004D6F14"/>
    <w:p w:rsidR="004D6F14" w:rsidRDefault="004D6F14" w:rsidP="004D6F14">
      <w:pPr>
        <w:pStyle w:val="a4"/>
        <w:ind w:left="282" w:hanging="282"/>
        <w:jc w:val="lowKashida"/>
        <w:rPr>
          <w:rtl/>
        </w:rPr>
      </w:pPr>
    </w:p>
  </w:footnote>
  <w:footnote w:id="22">
    <w:p w:rsidR="004D6F14" w:rsidRDefault="004D6F14" w:rsidP="004D6F14"/>
    <w:p w:rsidR="004D6F14" w:rsidRDefault="004D6F14" w:rsidP="004D6F14">
      <w:pPr>
        <w:pStyle w:val="a4"/>
        <w:jc w:val="lowKashida"/>
        <w:rPr>
          <w:rtl/>
        </w:rPr>
      </w:pPr>
    </w:p>
  </w:footnote>
  <w:footnote w:id="23">
    <w:p w:rsidR="004D6F14" w:rsidRDefault="004D6F14" w:rsidP="004D6F14"/>
    <w:p w:rsidR="004D6F14" w:rsidRDefault="004D6F14" w:rsidP="004D6F14">
      <w:pPr>
        <w:pStyle w:val="a4"/>
        <w:jc w:val="lowKashida"/>
        <w:rPr>
          <w:rtl/>
        </w:rPr>
      </w:pPr>
    </w:p>
  </w:footnote>
  <w:footnote w:id="24">
    <w:p w:rsidR="004D6F14" w:rsidRDefault="004D6F14" w:rsidP="004D6F14"/>
    <w:p w:rsidR="004D6F14" w:rsidRDefault="004D6F14" w:rsidP="004D6F14">
      <w:pPr>
        <w:pStyle w:val="a4"/>
        <w:ind w:left="282" w:hanging="282"/>
        <w:jc w:val="lowKashida"/>
        <w:rPr>
          <w:rtl/>
        </w:rPr>
      </w:pPr>
    </w:p>
  </w:footnote>
  <w:footnote w:id="25">
    <w:p w:rsidR="004D6F14" w:rsidRDefault="004D6F14" w:rsidP="004D6F14"/>
    <w:p w:rsidR="004D6F14" w:rsidRDefault="004D6F14" w:rsidP="004D6F14">
      <w:pPr>
        <w:pStyle w:val="a4"/>
        <w:ind w:left="282" w:hanging="282"/>
        <w:jc w:val="lowKashida"/>
        <w:rPr>
          <w:rtl/>
        </w:rPr>
      </w:pPr>
    </w:p>
  </w:footnote>
  <w:footnote w:id="26">
    <w:p w:rsidR="004D6F14" w:rsidRDefault="004D6F14" w:rsidP="004D6F14"/>
    <w:p w:rsidR="004D6F14" w:rsidRDefault="004D6F14" w:rsidP="004D6F14">
      <w:pPr>
        <w:pStyle w:val="a4"/>
        <w:ind w:left="282" w:hanging="282"/>
        <w:jc w:val="lowKashida"/>
        <w:rPr>
          <w:rtl/>
        </w:rPr>
      </w:pPr>
    </w:p>
  </w:footnote>
  <w:footnote w:id="27">
    <w:p w:rsidR="004D6F14" w:rsidRDefault="004D6F14" w:rsidP="004D6F14"/>
    <w:p w:rsidR="004D6F14" w:rsidRDefault="004D6F14" w:rsidP="004D6F14">
      <w:pPr>
        <w:pStyle w:val="a4"/>
        <w:ind w:left="282" w:hanging="282"/>
        <w:jc w:val="lowKashida"/>
        <w:rPr>
          <w:rtl/>
        </w:rPr>
      </w:pPr>
    </w:p>
  </w:footnote>
  <w:footnote w:id="28">
    <w:p w:rsidR="004D6F14" w:rsidRDefault="004D6F14" w:rsidP="004D6F14"/>
    <w:p w:rsidR="004D6F14" w:rsidRDefault="004D6F14" w:rsidP="004D6F14">
      <w:pPr>
        <w:pStyle w:val="a4"/>
        <w:jc w:val="lowKashida"/>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2F9D4EDC"/>
    <w:multiLevelType w:val="singleLevel"/>
    <w:tmpl w:val="666A6F92"/>
    <w:lvl w:ilvl="0">
      <w:start w:val="1"/>
      <w:numFmt w:val="decimal"/>
      <w:lvlText w:val="%1."/>
      <w:lvlJc w:val="left"/>
      <w:pPr>
        <w:tabs>
          <w:tab w:val="num" w:pos="360"/>
        </w:tabs>
        <w:ind w:left="360" w:hanging="360"/>
      </w:pPr>
      <w:rPr>
        <w:rFonts w:hint="default"/>
        <w:sz w:val="30"/>
      </w:rPr>
    </w:lvl>
  </w:abstractNum>
  <w:abstractNum w:abstractNumId="2">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0F6CA2"/>
    <w:rsid w:val="001771C0"/>
    <w:rsid w:val="001854F3"/>
    <w:rsid w:val="00280E20"/>
    <w:rsid w:val="0028342E"/>
    <w:rsid w:val="003973ED"/>
    <w:rsid w:val="00417789"/>
    <w:rsid w:val="00440FF6"/>
    <w:rsid w:val="0044715D"/>
    <w:rsid w:val="004D6F14"/>
    <w:rsid w:val="00641177"/>
    <w:rsid w:val="00645354"/>
    <w:rsid w:val="006D374C"/>
    <w:rsid w:val="00807038"/>
    <w:rsid w:val="008841EE"/>
    <w:rsid w:val="009B0584"/>
    <w:rsid w:val="00A66F79"/>
    <w:rsid w:val="00B73679"/>
    <w:rsid w:val="00B87747"/>
    <w:rsid w:val="00BC455F"/>
    <w:rsid w:val="00BD4FF6"/>
    <w:rsid w:val="00BD547E"/>
    <w:rsid w:val="00C20E54"/>
    <w:rsid w:val="00C73E90"/>
    <w:rsid w:val="00D033CB"/>
    <w:rsid w:val="00D26104"/>
    <w:rsid w:val="00D51972"/>
    <w:rsid w:val="00E17887"/>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1755</Words>
  <Characters>10005</Characters>
  <Application>Microsoft Office Word</Application>
  <DocSecurity>0</DocSecurity>
  <Lines>83</Lines>
  <Paragraphs>23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2015-09-25T19:18:00Z</dcterms:created>
  <dcterms:modified xsi:type="dcterms:W3CDTF">2015-09-25T19:18:00Z</dcterms:modified>
</cp:coreProperties>
</file>