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87" w:rsidRPr="00E17887" w:rsidRDefault="00D51972" w:rsidP="00D033CB">
      <w:pPr>
        <w:spacing w:after="0" w:line="240" w:lineRule="auto"/>
        <w:jc w:val="center"/>
        <w:rPr>
          <w:rFonts w:asciiTheme="minorBidi" w:eastAsia="Times New Roman" w:hAnsiTheme="minorBidi"/>
          <w:sz w:val="20"/>
          <w:szCs w:val="28"/>
          <w:rtl/>
        </w:rPr>
      </w:pPr>
      <w:r>
        <w:rPr>
          <w:rFonts w:ascii="Arial" w:eastAsia="Times New Roman" w:hAnsi="Arial" w:cs="Simple Bold Jut Out" w:hint="cs"/>
          <w:sz w:val="36"/>
          <w:szCs w:val="36"/>
          <w:rtl/>
        </w:rPr>
        <w:t>المحاضرة3</w:t>
      </w:r>
      <w:r w:rsidR="00D033CB">
        <w:rPr>
          <w:rFonts w:ascii="Arial" w:eastAsia="Times New Roman" w:hAnsi="Arial" w:cs="Simple Bold Jut Out" w:hint="cs"/>
          <w:sz w:val="36"/>
          <w:szCs w:val="36"/>
          <w:rtl/>
        </w:rPr>
        <w:t>4</w:t>
      </w:r>
    </w:p>
    <w:p w:rsidR="00E17887" w:rsidRPr="00E17887" w:rsidRDefault="00E17887" w:rsidP="00E17887">
      <w:pPr>
        <w:spacing w:after="0" w:line="240" w:lineRule="auto"/>
        <w:jc w:val="lowKashida"/>
        <w:rPr>
          <w:rFonts w:asciiTheme="minorBidi" w:eastAsia="Times New Roman" w:hAnsiTheme="minorBidi"/>
          <w:sz w:val="20"/>
          <w:szCs w:val="28"/>
          <w:rtl/>
        </w:rPr>
      </w:pPr>
    </w:p>
    <w:p w:rsidR="00440FF6" w:rsidRPr="00440FF6" w:rsidRDefault="00440FF6" w:rsidP="00440FF6">
      <w:pPr>
        <w:spacing w:after="0" w:line="240" w:lineRule="auto"/>
        <w:ind w:left="707" w:hanging="707"/>
        <w:jc w:val="lowKashida"/>
        <w:rPr>
          <w:rFonts w:asciiTheme="minorBidi" w:eastAsia="Times New Roman" w:hAnsiTheme="minorBidi"/>
          <w:b/>
          <w:bCs/>
          <w:sz w:val="20"/>
          <w:szCs w:val="28"/>
          <w:rtl/>
        </w:rPr>
      </w:pPr>
      <w:r w:rsidRPr="00440FF6">
        <w:rPr>
          <w:rFonts w:asciiTheme="minorBidi" w:eastAsia="Times New Roman" w:hAnsiTheme="minorBidi"/>
          <w:b/>
          <w:bCs/>
          <w:sz w:val="20"/>
          <w:szCs w:val="28"/>
          <w:rtl/>
        </w:rPr>
        <w:t xml:space="preserve">رابعا </w:t>
      </w:r>
      <w:r w:rsidRPr="00440FF6">
        <w:rPr>
          <w:rFonts w:asciiTheme="minorBidi" w:eastAsia="Times New Roman" w:hAnsiTheme="minorBidi"/>
          <w:b/>
          <w:bCs/>
          <w:sz w:val="20"/>
          <w:szCs w:val="28"/>
        </w:rPr>
        <w:t>–</w:t>
      </w:r>
      <w:r w:rsidRPr="00440FF6">
        <w:rPr>
          <w:rFonts w:asciiTheme="minorBidi" w:eastAsia="Times New Roman" w:hAnsiTheme="minorBidi"/>
          <w:b/>
          <w:bCs/>
          <w:sz w:val="20"/>
          <w:szCs w:val="28"/>
          <w:rtl/>
        </w:rPr>
        <w:t xml:space="preserve"> عدم جواز اللجوء للوسائل غير المشروعة </w:t>
      </w:r>
    </w:p>
    <w:p w:rsidR="00440FF6" w:rsidRPr="00440FF6" w:rsidRDefault="00440FF6" w:rsidP="00440FF6">
      <w:pPr>
        <w:spacing w:after="0" w:line="240" w:lineRule="auto"/>
        <w:ind w:left="707" w:hanging="707"/>
        <w:jc w:val="lowKashida"/>
        <w:rPr>
          <w:rFonts w:asciiTheme="minorBidi" w:eastAsia="Times New Roman" w:hAnsiTheme="minorBidi"/>
          <w:sz w:val="20"/>
          <w:szCs w:val="28"/>
          <w:rtl/>
        </w:rPr>
      </w:pPr>
    </w:p>
    <w:p w:rsidR="00440FF6" w:rsidRPr="00440FF6" w:rsidRDefault="00440FF6" w:rsidP="00440FF6">
      <w:pPr>
        <w:spacing w:after="0" w:line="240" w:lineRule="auto"/>
        <w:ind w:left="707" w:hanging="707"/>
        <w:jc w:val="lowKashida"/>
        <w:rPr>
          <w:rFonts w:asciiTheme="minorBidi" w:eastAsia="Times New Roman" w:hAnsiTheme="minorBidi"/>
          <w:sz w:val="20"/>
          <w:szCs w:val="28"/>
          <w:rtl/>
        </w:rPr>
      </w:pPr>
      <w:r w:rsidRPr="00440FF6">
        <w:rPr>
          <w:rFonts w:asciiTheme="minorBidi" w:eastAsia="Times New Roman" w:hAnsiTheme="minorBidi"/>
          <w:sz w:val="20"/>
          <w:szCs w:val="28"/>
          <w:rtl/>
        </w:rPr>
        <w:t xml:space="preserve">هناك مجموعة وسائل حرم المشرع العراقي اللجوء اليها عند استجواب المتهم ، </w:t>
      </w:r>
      <w:proofErr w:type="spellStart"/>
      <w:r w:rsidRPr="00440FF6">
        <w:rPr>
          <w:rFonts w:asciiTheme="minorBidi" w:eastAsia="Times New Roman" w:hAnsiTheme="minorBidi"/>
          <w:sz w:val="20"/>
          <w:szCs w:val="28"/>
          <w:rtl/>
        </w:rPr>
        <w:t>لانها</w:t>
      </w:r>
      <w:proofErr w:type="spellEnd"/>
      <w:r w:rsidRPr="00440FF6">
        <w:rPr>
          <w:rFonts w:asciiTheme="minorBidi" w:eastAsia="Times New Roman" w:hAnsiTheme="minorBidi"/>
          <w:sz w:val="20"/>
          <w:szCs w:val="28"/>
          <w:rtl/>
        </w:rPr>
        <w:t xml:space="preserve"> تشكل مساسا بسلامة الجسم ومن هذه الوسائل ما يمس الكيان المادي ومنها ما يمس الكيان المعنوي للمتهم .</w:t>
      </w:r>
    </w:p>
    <w:p w:rsidR="00440FF6" w:rsidRPr="00440FF6" w:rsidRDefault="00440FF6" w:rsidP="00440FF6">
      <w:pPr>
        <w:spacing w:after="0" w:line="240" w:lineRule="auto"/>
        <w:jc w:val="lowKashida"/>
        <w:rPr>
          <w:rFonts w:asciiTheme="minorBidi" w:eastAsia="Times New Roman" w:hAnsiTheme="minorBidi"/>
          <w:sz w:val="20"/>
          <w:szCs w:val="28"/>
          <w:rtl/>
        </w:rPr>
      </w:pPr>
      <w:r w:rsidRPr="00440FF6">
        <w:rPr>
          <w:rFonts w:asciiTheme="minorBidi" w:eastAsia="Times New Roman" w:hAnsiTheme="minorBidi"/>
          <w:b/>
          <w:bCs/>
          <w:sz w:val="20"/>
          <w:szCs w:val="28"/>
          <w:rtl/>
        </w:rPr>
        <w:t>1. الوسائل الماسة بالكيان المادي</w:t>
      </w:r>
      <w:r w:rsidRPr="00440FF6">
        <w:rPr>
          <w:rFonts w:asciiTheme="minorBidi" w:eastAsia="Times New Roman" w:hAnsiTheme="minorBidi"/>
          <w:sz w:val="20"/>
          <w:szCs w:val="28"/>
          <w:rtl/>
        </w:rPr>
        <w:t xml:space="preserve"> :- وهي الوسائل التي تمثل مساسا ماديا بجسم المتهم ومنها :</w:t>
      </w:r>
    </w:p>
    <w:p w:rsidR="00440FF6" w:rsidRPr="00440FF6" w:rsidRDefault="00440FF6" w:rsidP="00440FF6">
      <w:pPr>
        <w:spacing w:after="0" w:line="240" w:lineRule="auto"/>
        <w:jc w:val="lowKashida"/>
        <w:rPr>
          <w:rFonts w:asciiTheme="minorBidi" w:eastAsia="Times New Roman" w:hAnsiTheme="minorBidi"/>
          <w:sz w:val="20"/>
          <w:szCs w:val="28"/>
          <w:rtl/>
        </w:rPr>
      </w:pPr>
    </w:p>
    <w:p w:rsidR="00440FF6" w:rsidRPr="00440FF6" w:rsidRDefault="00440FF6" w:rsidP="00440FF6">
      <w:pPr>
        <w:spacing w:after="0" w:line="240" w:lineRule="auto"/>
        <w:ind w:left="849" w:hanging="284"/>
        <w:jc w:val="lowKashida"/>
        <w:rPr>
          <w:rFonts w:asciiTheme="minorBidi" w:eastAsia="Times New Roman" w:hAnsiTheme="minorBidi"/>
          <w:sz w:val="20"/>
          <w:szCs w:val="28"/>
          <w:rtl/>
        </w:rPr>
      </w:pPr>
      <w:r w:rsidRPr="00440FF6">
        <w:rPr>
          <w:rFonts w:asciiTheme="minorBidi" w:eastAsia="Times New Roman" w:hAnsiTheme="minorBidi"/>
          <w:b/>
          <w:bCs/>
          <w:sz w:val="20"/>
          <w:szCs w:val="28"/>
          <w:rtl/>
        </w:rPr>
        <w:t>أ- إساءة المعاملة</w:t>
      </w:r>
      <w:r w:rsidRPr="00440FF6">
        <w:rPr>
          <w:rFonts w:asciiTheme="minorBidi" w:eastAsia="Times New Roman" w:hAnsiTheme="minorBidi" w:hint="cs"/>
          <w:b/>
          <w:bCs/>
          <w:sz w:val="20"/>
          <w:szCs w:val="28"/>
          <w:rtl/>
        </w:rPr>
        <w:t>:</w:t>
      </w:r>
      <w:r w:rsidRPr="00440FF6">
        <w:rPr>
          <w:rFonts w:asciiTheme="minorBidi" w:eastAsia="Times New Roman" w:hAnsiTheme="minorBidi" w:hint="cs"/>
          <w:sz w:val="20"/>
          <w:szCs w:val="28"/>
          <w:rtl/>
        </w:rPr>
        <w:t xml:space="preserve"> </w:t>
      </w:r>
      <w:r w:rsidRPr="00440FF6">
        <w:rPr>
          <w:rFonts w:asciiTheme="minorBidi" w:eastAsia="Times New Roman" w:hAnsiTheme="minorBidi"/>
          <w:sz w:val="20"/>
          <w:szCs w:val="28"/>
          <w:rtl/>
        </w:rPr>
        <w:t xml:space="preserve"> كمنع المتهم من الطعام والشراب او وضعه في اماكن غير مريحة ومنعه من التدخين مما يؤدي بالتالي إلى المساس بسلامة جسمه ، والغرض من وراء تلك المعاملة السيئة هو لحمل المتهم على الاعتراف بما هو منسوب اليه او لمجرد الاساءة اليه ، وقد نصت المادة (333) من قانون العقوبات على ( يعاقب بالسجن او الحبس كل موظف او مكلف بخدمة عامة عذب اوامر بتعذيب متهم </w:t>
      </w:r>
      <w:r w:rsidRPr="00440FF6">
        <w:rPr>
          <w:rFonts w:asciiTheme="minorBidi" w:eastAsia="Times New Roman" w:hAnsiTheme="minorBidi"/>
          <w:sz w:val="20"/>
          <w:szCs w:val="28"/>
        </w:rPr>
        <w:t>…</w:t>
      </w:r>
      <w:r w:rsidRPr="00440FF6">
        <w:rPr>
          <w:rFonts w:asciiTheme="minorBidi" w:eastAsia="Times New Roman" w:hAnsiTheme="minorBidi"/>
          <w:sz w:val="20"/>
          <w:szCs w:val="28"/>
          <w:rtl/>
        </w:rPr>
        <w:t xml:space="preserve"> لحمله على الاعتراف </w:t>
      </w:r>
      <w:r w:rsidRPr="00440FF6">
        <w:rPr>
          <w:rFonts w:asciiTheme="minorBidi" w:eastAsia="Times New Roman" w:hAnsiTheme="minorBidi"/>
          <w:sz w:val="20"/>
          <w:szCs w:val="28"/>
        </w:rPr>
        <w:t>…</w:t>
      </w:r>
      <w:r w:rsidRPr="00440FF6">
        <w:rPr>
          <w:rFonts w:asciiTheme="minorBidi" w:eastAsia="Times New Roman" w:hAnsiTheme="minorBidi"/>
          <w:sz w:val="20"/>
          <w:szCs w:val="28"/>
          <w:rtl/>
        </w:rPr>
        <w:t xml:space="preserve"> ويكون بحكم التعذيب استعمال القوة أو التهديد ) </w:t>
      </w:r>
      <w:r w:rsidRPr="00440FF6">
        <w:rPr>
          <w:rFonts w:asciiTheme="minorBidi" w:eastAsia="Times New Roman" w:hAnsiTheme="minorBidi"/>
          <w:sz w:val="20"/>
          <w:szCs w:val="28"/>
          <w:vertAlign w:val="superscript"/>
          <w:rtl/>
        </w:rPr>
        <w:footnoteReference w:customMarkFollows="1" w:id="1"/>
        <w:t>(</w:t>
      </w:r>
      <w:r w:rsidRPr="00440FF6">
        <w:rPr>
          <w:rFonts w:asciiTheme="minorBidi" w:eastAsia="Times New Roman" w:hAnsiTheme="minorBidi" w:hint="cs"/>
          <w:sz w:val="20"/>
          <w:szCs w:val="28"/>
          <w:vertAlign w:val="superscript"/>
          <w:rtl/>
        </w:rPr>
        <w:t xml:space="preserve"> </w:t>
      </w:r>
      <w:r w:rsidRPr="00440FF6">
        <w:rPr>
          <w:rFonts w:asciiTheme="minorBidi" w:eastAsia="Times New Roman" w:hAnsiTheme="minorBidi"/>
          <w:sz w:val="20"/>
          <w:szCs w:val="28"/>
          <w:vertAlign w:val="superscript"/>
          <w:rtl/>
        </w:rPr>
        <w:t>)</w:t>
      </w:r>
      <w:r w:rsidRPr="00440FF6">
        <w:rPr>
          <w:rFonts w:asciiTheme="minorBidi" w:eastAsia="Times New Roman" w:hAnsiTheme="minorBidi"/>
          <w:sz w:val="20"/>
          <w:szCs w:val="28"/>
          <w:rtl/>
        </w:rPr>
        <w:t xml:space="preserve"> .</w:t>
      </w:r>
    </w:p>
    <w:p w:rsidR="00440FF6" w:rsidRPr="00440FF6" w:rsidRDefault="00440FF6" w:rsidP="00440FF6">
      <w:pPr>
        <w:spacing w:after="0" w:line="240" w:lineRule="auto"/>
        <w:ind w:left="849"/>
        <w:jc w:val="lowKashida"/>
        <w:rPr>
          <w:rFonts w:asciiTheme="minorBidi" w:eastAsia="Times New Roman" w:hAnsiTheme="minorBidi"/>
          <w:sz w:val="20"/>
          <w:szCs w:val="28"/>
          <w:rtl/>
        </w:rPr>
      </w:pPr>
      <w:r w:rsidRPr="00440FF6">
        <w:rPr>
          <w:rFonts w:asciiTheme="minorBidi" w:eastAsia="Times New Roman" w:hAnsiTheme="minorBidi"/>
          <w:sz w:val="20"/>
          <w:szCs w:val="28"/>
          <w:rtl/>
        </w:rPr>
        <w:t xml:space="preserve">كذلك نصت اغلب التشريعات على عدم جواز اجبار المتهم </w:t>
      </w:r>
      <w:r w:rsidRPr="00440FF6">
        <w:rPr>
          <w:rFonts w:asciiTheme="minorBidi" w:eastAsia="Times New Roman" w:hAnsiTheme="minorBidi" w:hint="cs"/>
          <w:sz w:val="20"/>
          <w:szCs w:val="28"/>
          <w:rtl/>
        </w:rPr>
        <w:t>للإجابة</w:t>
      </w:r>
      <w:r w:rsidRPr="00440FF6">
        <w:rPr>
          <w:rFonts w:asciiTheme="minorBidi" w:eastAsia="Times New Roman" w:hAnsiTheme="minorBidi"/>
          <w:sz w:val="20"/>
          <w:szCs w:val="28"/>
          <w:rtl/>
        </w:rPr>
        <w:t xml:space="preserve"> عن الأسئلة التي توجه اليه ، وهذا ما اشارت إليه الفقرة (ب) من المادة (126) من قانون اصول المحاكمات الجزائية العراقي بقولها :- ( لا يجبر المتهم على الاجابة على الاسئلة التي توجه اليه ) والمادة ( 218 / 2 ) من قانون الاجراءات الجنائية السوداني التي تنص على ( يجب ان لا يكون المتهم عرضة للعقاب بسبب امتناعه عن الاجابة على الاسئلة المذكورة او بسبب ادلائه </w:t>
      </w:r>
      <w:r w:rsidRPr="00440FF6">
        <w:rPr>
          <w:rFonts w:asciiTheme="minorBidi" w:eastAsia="Times New Roman" w:hAnsiTheme="minorBidi" w:hint="cs"/>
          <w:sz w:val="20"/>
          <w:szCs w:val="28"/>
          <w:rtl/>
        </w:rPr>
        <w:t>بإجابات</w:t>
      </w:r>
      <w:r w:rsidRPr="00440FF6">
        <w:rPr>
          <w:rFonts w:asciiTheme="minorBidi" w:eastAsia="Times New Roman" w:hAnsiTheme="minorBidi"/>
          <w:sz w:val="20"/>
          <w:szCs w:val="28"/>
          <w:rtl/>
        </w:rPr>
        <w:t xml:space="preserve"> كاذبة عليها ) . واوجبت بعض التشريعات ضرورة تنبيه المتهم بانه حر في عدم الادلاء </w:t>
      </w:r>
      <w:r w:rsidRPr="00440FF6">
        <w:rPr>
          <w:rFonts w:asciiTheme="minorBidi" w:eastAsia="Times New Roman" w:hAnsiTheme="minorBidi" w:hint="cs"/>
          <w:sz w:val="20"/>
          <w:szCs w:val="28"/>
          <w:rtl/>
        </w:rPr>
        <w:t>بأقواله</w:t>
      </w:r>
      <w:r w:rsidRPr="00440FF6">
        <w:rPr>
          <w:rFonts w:asciiTheme="minorBidi" w:eastAsia="Times New Roman" w:hAnsiTheme="minorBidi"/>
          <w:sz w:val="20"/>
          <w:szCs w:val="28"/>
          <w:rtl/>
        </w:rPr>
        <w:t xml:space="preserve"> </w:t>
      </w:r>
      <w:r w:rsidRPr="00440FF6">
        <w:rPr>
          <w:rFonts w:asciiTheme="minorBidi" w:eastAsia="Times New Roman" w:hAnsiTheme="minorBidi"/>
          <w:sz w:val="20"/>
          <w:szCs w:val="28"/>
          <w:vertAlign w:val="superscript"/>
          <w:rtl/>
        </w:rPr>
        <w:footnoteReference w:customMarkFollows="1" w:id="2"/>
        <w:t>(</w:t>
      </w:r>
      <w:r w:rsidRPr="00440FF6">
        <w:rPr>
          <w:rFonts w:asciiTheme="minorBidi" w:eastAsia="Times New Roman" w:hAnsiTheme="minorBidi" w:hint="cs"/>
          <w:sz w:val="20"/>
          <w:szCs w:val="28"/>
          <w:vertAlign w:val="superscript"/>
          <w:rtl/>
        </w:rPr>
        <w:t xml:space="preserve"> </w:t>
      </w:r>
      <w:r w:rsidRPr="00440FF6">
        <w:rPr>
          <w:rFonts w:asciiTheme="minorBidi" w:eastAsia="Times New Roman" w:hAnsiTheme="minorBidi"/>
          <w:sz w:val="20"/>
          <w:szCs w:val="28"/>
          <w:vertAlign w:val="superscript"/>
          <w:rtl/>
        </w:rPr>
        <w:t>)</w:t>
      </w:r>
      <w:r w:rsidRPr="00440FF6">
        <w:rPr>
          <w:rFonts w:asciiTheme="minorBidi" w:eastAsia="Times New Roman" w:hAnsiTheme="minorBidi"/>
          <w:sz w:val="20"/>
          <w:szCs w:val="28"/>
          <w:rtl/>
        </w:rPr>
        <w:t xml:space="preserve"> .</w:t>
      </w:r>
    </w:p>
    <w:p w:rsidR="00440FF6" w:rsidRPr="00440FF6" w:rsidRDefault="00440FF6" w:rsidP="00440FF6">
      <w:pPr>
        <w:spacing w:after="0" w:line="240" w:lineRule="auto"/>
        <w:ind w:left="849" w:hanging="284"/>
        <w:jc w:val="lowKashida"/>
        <w:rPr>
          <w:rFonts w:asciiTheme="minorBidi" w:eastAsia="Times New Roman" w:hAnsiTheme="minorBidi"/>
          <w:sz w:val="20"/>
          <w:szCs w:val="28"/>
          <w:rtl/>
        </w:rPr>
      </w:pPr>
      <w:r w:rsidRPr="00440FF6">
        <w:rPr>
          <w:rFonts w:asciiTheme="minorBidi" w:eastAsia="Times New Roman" w:hAnsiTheme="minorBidi"/>
          <w:b/>
          <w:bCs/>
          <w:sz w:val="20"/>
          <w:szCs w:val="28"/>
          <w:rtl/>
        </w:rPr>
        <w:t>ب- الاكراه المادي :</w:t>
      </w:r>
      <w:r w:rsidRPr="00440FF6">
        <w:rPr>
          <w:rFonts w:asciiTheme="minorBidi" w:eastAsia="Times New Roman" w:hAnsiTheme="minorBidi"/>
          <w:sz w:val="20"/>
          <w:szCs w:val="28"/>
          <w:rtl/>
        </w:rPr>
        <w:t xml:space="preserve"> هو فعل مباشر يمس جسم المتهم فيشل ارادته ويتمثل بالاعتداء بقوة مادية لا قبل للمتهم على مقاومتها. وبغض النظر عن جسامة هذا المساس ما دام له تأثير على ارادة المتهم وحريته. ويتم اللجوء لهذه الوسيلة من قبل المحققين العاجزين </w:t>
      </w:r>
      <w:r w:rsidRPr="00440FF6">
        <w:rPr>
          <w:rFonts w:asciiTheme="minorBidi" w:eastAsia="Times New Roman" w:hAnsiTheme="minorBidi" w:hint="cs"/>
          <w:sz w:val="20"/>
          <w:szCs w:val="28"/>
          <w:rtl/>
        </w:rPr>
        <w:t>لإخفاء</w:t>
      </w:r>
      <w:r w:rsidRPr="00440FF6">
        <w:rPr>
          <w:rFonts w:asciiTheme="minorBidi" w:eastAsia="Times New Roman" w:hAnsiTheme="minorBidi"/>
          <w:sz w:val="20"/>
          <w:szCs w:val="28"/>
          <w:rtl/>
        </w:rPr>
        <w:t xml:space="preserve"> عدم كفاءتهم وقصورهم في التحقيق والتهرب من بذل الجهود التي تستلزمها مواصلة البحث عن الادلة الموضوعية </w:t>
      </w:r>
      <w:r w:rsidRPr="00440FF6">
        <w:rPr>
          <w:rFonts w:asciiTheme="minorBidi" w:eastAsia="Times New Roman" w:hAnsiTheme="minorBidi"/>
          <w:sz w:val="20"/>
          <w:szCs w:val="28"/>
          <w:rtl/>
        </w:rPr>
        <w:br/>
        <w:t>السليمة . ومن وسائل الاكراه المادي الضرب والجرح واعطاء العقاقير المخدرة والتنويم المغناطيسي فبالنسبة للجرح والضرب فقد سبق ان بينا المقصود بهما في الفصل الاول من هذه الرسالة .</w:t>
      </w:r>
    </w:p>
    <w:p w:rsidR="00440FF6" w:rsidRPr="00440FF6" w:rsidRDefault="00440FF6" w:rsidP="00440FF6">
      <w:pPr>
        <w:spacing w:after="0" w:line="240" w:lineRule="auto"/>
        <w:ind w:left="849"/>
        <w:jc w:val="lowKashida"/>
        <w:rPr>
          <w:rFonts w:asciiTheme="minorBidi" w:eastAsia="Times New Roman" w:hAnsiTheme="minorBidi"/>
          <w:sz w:val="28"/>
          <w:szCs w:val="28"/>
          <w:rtl/>
        </w:rPr>
      </w:pPr>
      <w:r w:rsidRPr="00440FF6">
        <w:rPr>
          <w:rFonts w:asciiTheme="minorBidi" w:eastAsia="Times New Roman" w:hAnsiTheme="minorBidi"/>
          <w:sz w:val="20"/>
          <w:szCs w:val="28"/>
          <w:rtl/>
        </w:rPr>
        <w:t xml:space="preserve">أما العقاقير المخدرة فهي مواد تعطى للمتهم فيفقد القدرة على الاختيار والتحكم الارادي مما يجعله اكثر قابلية </w:t>
      </w:r>
      <w:r w:rsidRPr="00440FF6">
        <w:rPr>
          <w:rFonts w:asciiTheme="minorBidi" w:eastAsia="Times New Roman" w:hAnsiTheme="minorBidi" w:hint="cs"/>
          <w:sz w:val="20"/>
          <w:szCs w:val="28"/>
          <w:rtl/>
        </w:rPr>
        <w:t>للإيحاء</w:t>
      </w:r>
      <w:r w:rsidRPr="00440FF6">
        <w:rPr>
          <w:rFonts w:asciiTheme="minorBidi" w:eastAsia="Times New Roman" w:hAnsiTheme="minorBidi"/>
          <w:sz w:val="20"/>
          <w:szCs w:val="28"/>
          <w:rtl/>
        </w:rPr>
        <w:t xml:space="preserve"> سواء كان يتحدث تلقائيا او ردا على اسئلة موجهة اليه . ومن هذه العقاقير</w:t>
      </w:r>
      <w:r w:rsidRPr="00440FF6">
        <w:rPr>
          <w:rFonts w:asciiTheme="minorBidi" w:eastAsia="Times New Roman" w:hAnsiTheme="minorBidi"/>
          <w:sz w:val="20"/>
          <w:szCs w:val="28"/>
          <w:rtl/>
        </w:rPr>
        <w:br/>
        <w:t xml:space="preserve"> </w:t>
      </w:r>
      <w:r w:rsidRPr="00440FF6">
        <w:rPr>
          <w:rFonts w:asciiTheme="minorBidi" w:eastAsia="Times New Roman" w:hAnsiTheme="minorBidi"/>
          <w:sz w:val="28"/>
          <w:szCs w:val="28"/>
        </w:rPr>
        <w:t xml:space="preserve">( </w:t>
      </w:r>
      <w:proofErr w:type="spellStart"/>
      <w:r w:rsidRPr="00440FF6">
        <w:rPr>
          <w:rFonts w:asciiTheme="minorBidi" w:eastAsia="Times New Roman" w:hAnsiTheme="minorBidi"/>
          <w:sz w:val="28"/>
          <w:szCs w:val="28"/>
        </w:rPr>
        <w:t>Penthotal</w:t>
      </w:r>
      <w:proofErr w:type="spellEnd"/>
      <w:r w:rsidRPr="00440FF6">
        <w:rPr>
          <w:rFonts w:asciiTheme="minorBidi" w:eastAsia="Times New Roman" w:hAnsiTheme="minorBidi"/>
          <w:sz w:val="28"/>
          <w:szCs w:val="28"/>
        </w:rPr>
        <w:t xml:space="preserve"> )</w:t>
      </w:r>
      <w:r w:rsidRPr="00440FF6">
        <w:rPr>
          <w:rFonts w:asciiTheme="minorBidi" w:eastAsia="Times New Roman" w:hAnsiTheme="minorBidi"/>
          <w:sz w:val="28"/>
          <w:szCs w:val="28"/>
          <w:rtl/>
        </w:rPr>
        <w:t xml:space="preserve"> او ما يسمى مصل الحقيقة ) </w:t>
      </w:r>
      <w:r w:rsidRPr="00440FF6">
        <w:rPr>
          <w:rFonts w:asciiTheme="minorBidi" w:eastAsia="Times New Roman" w:hAnsiTheme="minorBidi"/>
          <w:sz w:val="28"/>
          <w:szCs w:val="28"/>
          <w:vertAlign w:val="superscript"/>
          <w:rtl/>
        </w:rPr>
        <w:footnoteReference w:customMarkFollows="1" w:id="3"/>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 وعليه فان الاقرار المتحصل باستخدام هذه العقاقير هو اقرار </w:t>
      </w:r>
      <w:proofErr w:type="spellStart"/>
      <w:r w:rsidRPr="00440FF6">
        <w:rPr>
          <w:rFonts w:asciiTheme="minorBidi" w:eastAsia="Times New Roman" w:hAnsiTheme="minorBidi"/>
          <w:sz w:val="28"/>
          <w:szCs w:val="28"/>
          <w:rtl/>
        </w:rPr>
        <w:t>قسرى</w:t>
      </w:r>
      <w:proofErr w:type="spellEnd"/>
      <w:r w:rsidRPr="00440FF6">
        <w:rPr>
          <w:rFonts w:asciiTheme="minorBidi" w:eastAsia="Times New Roman" w:hAnsiTheme="minorBidi"/>
          <w:sz w:val="28"/>
          <w:szCs w:val="28"/>
          <w:rtl/>
        </w:rPr>
        <w:t xml:space="preserve"> </w:t>
      </w:r>
      <w:r w:rsidRPr="00440FF6">
        <w:rPr>
          <w:rFonts w:asciiTheme="minorBidi" w:eastAsia="Times New Roman" w:hAnsiTheme="minorBidi"/>
          <w:sz w:val="28"/>
          <w:szCs w:val="28"/>
          <w:vertAlign w:val="superscript"/>
          <w:rtl/>
        </w:rPr>
        <w:footnoteReference w:customMarkFollows="1" w:id="4"/>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lastRenderedPageBreak/>
        <w:t xml:space="preserve">لهذا فقد حرمت اغلب التشريعات استخدام هذه العقاقير في الاستجواب ، ومنها التشريع العراقي في المادة (127) من قانون أصول المحاكمات الجزائية والتي نصت على انه                 ( لا يجوز استعمال اية وسيلة غير مشروعة للتأثير على المتهم للحصول على اقراره ويعد من الوسائل غير المشروعة </w:t>
      </w:r>
      <w:r w:rsidRPr="00440FF6">
        <w:rPr>
          <w:rFonts w:asciiTheme="minorBidi" w:eastAsia="Times New Roman" w:hAnsiTheme="minorBidi"/>
          <w:sz w:val="28"/>
          <w:szCs w:val="28"/>
        </w:rPr>
        <w:t>…</w:t>
      </w:r>
      <w:r w:rsidRPr="00440FF6">
        <w:rPr>
          <w:rFonts w:asciiTheme="minorBidi" w:eastAsia="Times New Roman" w:hAnsiTheme="minorBidi"/>
          <w:sz w:val="28"/>
          <w:szCs w:val="28"/>
          <w:rtl/>
        </w:rPr>
        <w:t xml:space="preserve"> والعقاقير ) وبالحكم نفسه اخذ التشريع الإيطالي في المادة (613 )/ عقوبات إذ نصت على معاقبة كل من تسبب في سلب حرية الارادة والتفكير لشخص ما عن طريق استخدام المواد المخدرة حتى بموافقة المتهم . وبنفس الحكم اخذت كل من فرنسا وبلجيكا والولايات المتحدة والاكوادور ويوغسلافيا </w:t>
      </w:r>
      <w:r w:rsidRPr="00440FF6">
        <w:rPr>
          <w:rFonts w:asciiTheme="minorBidi" w:eastAsia="Times New Roman" w:hAnsiTheme="minorBidi"/>
          <w:sz w:val="28"/>
          <w:szCs w:val="28"/>
          <w:vertAlign w:val="superscript"/>
          <w:rtl/>
        </w:rPr>
        <w:footnoteReference w:customMarkFollows="1" w:id="5"/>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7"/>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أما عن موقف القضاء فقد رفض القضاء الفرنسي استخدام هذه الوسيلة في استجواب المتهم كذلك رفض القضاء الإيطالي والامريكي استخدام هذه الوسيلة في الاستجواب </w:t>
      </w:r>
      <w:r w:rsidRPr="00440FF6">
        <w:rPr>
          <w:rFonts w:asciiTheme="minorBidi" w:eastAsia="Times New Roman" w:hAnsiTheme="minorBidi"/>
          <w:sz w:val="28"/>
          <w:szCs w:val="28"/>
          <w:vertAlign w:val="superscript"/>
          <w:rtl/>
        </w:rPr>
        <w:footnoteReference w:customMarkFollows="1" w:id="6"/>
        <w:t>(2)</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أما عن موقف المؤتمرات والحلقات الدراسية </w:t>
      </w:r>
      <w:r w:rsidRPr="00440FF6">
        <w:rPr>
          <w:rFonts w:asciiTheme="minorBidi" w:eastAsia="Times New Roman" w:hAnsiTheme="minorBidi" w:hint="cs"/>
          <w:sz w:val="28"/>
          <w:szCs w:val="28"/>
          <w:rtl/>
        </w:rPr>
        <w:t>فإنها</w:t>
      </w:r>
      <w:r w:rsidRPr="00440FF6">
        <w:rPr>
          <w:rFonts w:asciiTheme="minorBidi" w:eastAsia="Times New Roman" w:hAnsiTheme="minorBidi"/>
          <w:sz w:val="28"/>
          <w:szCs w:val="28"/>
          <w:rtl/>
        </w:rPr>
        <w:t xml:space="preserve"> تؤكد على عدم مشروعية استخدام العقاقير المخدرة عند استجواب المتهم </w:t>
      </w:r>
      <w:r w:rsidRPr="00440FF6">
        <w:rPr>
          <w:rFonts w:asciiTheme="minorBidi" w:eastAsia="Times New Roman" w:hAnsiTheme="minorBidi"/>
          <w:sz w:val="28"/>
          <w:szCs w:val="28"/>
          <w:vertAlign w:val="superscript"/>
          <w:rtl/>
        </w:rPr>
        <w:footnoteReference w:customMarkFollows="1" w:id="7"/>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 أما موقف الفقه فقد انقسم إلى مؤيد ومعارض فالمؤيدون يؤكدون امكانية استخدام هذه العقاقير ولكن بشروط منها موافقة المتهم وفي الجرائم الخطيرة كالقتل والحريق وقطع الطريق ، وان يكون الاتهام واضحا وهناك امارات قوية على ارتكاب المتهم للفعل</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أما المعارضون ونحن نتفق معهم فقد استندوا إلى مجموعة من الحجج منها ان هذه الوسيلة تشكل مساسا بجسم المتهم قد يصل إلى درجة من الجسامة ، لاسيما وان استخدام هذه العقاقير يحتاج الى اشخاص ذوي خبرة في تحضيرها ، ومن حيث المقدار الواجب اعطائه فان أي زيادة في المقدار تعرض جسم المتهم إلى اضرار بالغة كما ان المعلومات المتحصلة لا يمكن التعويل عليها </w:t>
      </w:r>
      <w:r w:rsidRPr="00440FF6">
        <w:rPr>
          <w:rFonts w:asciiTheme="minorBidi" w:eastAsia="Times New Roman" w:hAnsiTheme="minorBidi" w:hint="cs"/>
          <w:sz w:val="28"/>
          <w:szCs w:val="28"/>
          <w:rtl/>
        </w:rPr>
        <w:t>،لأنه</w:t>
      </w:r>
      <w:r w:rsidRPr="00440FF6">
        <w:rPr>
          <w:rFonts w:asciiTheme="minorBidi" w:eastAsia="Times New Roman" w:hAnsiTheme="minorBidi"/>
          <w:sz w:val="28"/>
          <w:szCs w:val="28"/>
          <w:rtl/>
        </w:rPr>
        <w:t xml:space="preserve"> </w:t>
      </w:r>
      <w:r w:rsidRPr="00440FF6">
        <w:rPr>
          <w:rFonts w:asciiTheme="minorBidi" w:eastAsia="Times New Roman" w:hAnsiTheme="minorBidi" w:hint="cs"/>
          <w:sz w:val="28"/>
          <w:szCs w:val="28"/>
          <w:rtl/>
        </w:rPr>
        <w:t>بإمكان</w:t>
      </w:r>
      <w:r w:rsidRPr="00440FF6">
        <w:rPr>
          <w:rFonts w:asciiTheme="minorBidi" w:eastAsia="Times New Roman" w:hAnsiTheme="minorBidi"/>
          <w:sz w:val="28"/>
          <w:szCs w:val="28"/>
          <w:rtl/>
        </w:rPr>
        <w:t xml:space="preserve"> المتهم ان يخفي الحقيقة ، فضلاً عن ذلك فان فعل التخدير يتضمن مساسا </w:t>
      </w:r>
      <w:r w:rsidRPr="00440FF6">
        <w:rPr>
          <w:rFonts w:asciiTheme="minorBidi" w:eastAsia="Times New Roman" w:hAnsiTheme="minorBidi" w:hint="cs"/>
          <w:sz w:val="28"/>
          <w:szCs w:val="28"/>
          <w:rtl/>
        </w:rPr>
        <w:t>بأنسجة</w:t>
      </w:r>
      <w:r w:rsidRPr="00440FF6">
        <w:rPr>
          <w:rFonts w:asciiTheme="minorBidi" w:eastAsia="Times New Roman" w:hAnsiTheme="minorBidi"/>
          <w:sz w:val="28"/>
          <w:szCs w:val="28"/>
          <w:rtl/>
        </w:rPr>
        <w:t xml:space="preserve"> الجسم ، واستخدام هذه العقاقير يمثل اعتداءً على حق المتهم في الصمت وان لا يدين نفسه بنفسه </w:t>
      </w:r>
      <w:r w:rsidRPr="00440FF6">
        <w:rPr>
          <w:rFonts w:asciiTheme="minorBidi" w:eastAsia="Times New Roman" w:hAnsiTheme="minorBidi"/>
          <w:sz w:val="28"/>
          <w:szCs w:val="28"/>
          <w:vertAlign w:val="superscript"/>
          <w:rtl/>
        </w:rPr>
        <w:footnoteReference w:customMarkFollows="1" w:id="8"/>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اما بالنسبة للمخدرات والمسكرات فان اعطاءها للمتهم اثناء الاستجواب يؤدي إلى الاضرار بسلامة جسمه ، فقد اكدت الدراسات الطبية الحديثة ان المخدرات والمسكرات لها تأثيرات سلبية على جسم المتهم  فهي تؤدي إلى المساس بجسم المتهم ، لان اعطاءها يؤثر على صحة المتهم ويؤدي إلى الاخلال بالوظائف الطبيعية </w:t>
      </w:r>
      <w:r w:rsidRPr="00440FF6">
        <w:rPr>
          <w:rFonts w:asciiTheme="minorBidi" w:eastAsia="Times New Roman" w:hAnsiTheme="minorBidi" w:hint="cs"/>
          <w:sz w:val="28"/>
          <w:szCs w:val="28"/>
          <w:rtl/>
        </w:rPr>
        <w:t>لأعضاء</w:t>
      </w:r>
      <w:r w:rsidRPr="00440FF6">
        <w:rPr>
          <w:rFonts w:asciiTheme="minorBidi" w:eastAsia="Times New Roman" w:hAnsiTheme="minorBidi"/>
          <w:sz w:val="28"/>
          <w:szCs w:val="28"/>
          <w:rtl/>
        </w:rPr>
        <w:t xml:space="preserve"> جسمه ، </w:t>
      </w:r>
      <w:r w:rsidRPr="00440FF6">
        <w:rPr>
          <w:rFonts w:asciiTheme="minorBidi" w:eastAsia="Times New Roman" w:hAnsiTheme="minorBidi" w:hint="cs"/>
          <w:sz w:val="28"/>
          <w:szCs w:val="28"/>
          <w:rtl/>
        </w:rPr>
        <w:t>لأنها</w:t>
      </w:r>
      <w:r w:rsidRPr="00440FF6">
        <w:rPr>
          <w:rFonts w:asciiTheme="minorBidi" w:eastAsia="Times New Roman" w:hAnsiTheme="minorBidi"/>
          <w:sz w:val="28"/>
          <w:szCs w:val="28"/>
          <w:rtl/>
        </w:rPr>
        <w:t xml:space="preserve"> تؤدي إلى زيادة في نبضات القلب ، وارتفاع ضغط الدم ، و درجة الحرارة ، والشعور بعدم الارتياح والقلق ولها تأثير على الجهاز التنفسي</w:t>
      </w:r>
      <w:r w:rsidRPr="00440FF6">
        <w:rPr>
          <w:rFonts w:asciiTheme="minorBidi" w:eastAsia="Times New Roman" w:hAnsiTheme="minorBidi" w:hint="cs"/>
          <w:sz w:val="28"/>
          <w:szCs w:val="28"/>
          <w:rtl/>
        </w:rPr>
        <w:t>،</w:t>
      </w:r>
      <w:r w:rsidRPr="00440FF6">
        <w:rPr>
          <w:rFonts w:asciiTheme="minorBidi" w:eastAsia="Times New Roman" w:hAnsiTheme="minorBidi"/>
          <w:sz w:val="28"/>
          <w:szCs w:val="28"/>
          <w:rtl/>
        </w:rPr>
        <w:t xml:space="preserve"> </w:t>
      </w:r>
      <w:r w:rsidRPr="00440FF6">
        <w:rPr>
          <w:rFonts w:asciiTheme="minorBidi" w:eastAsia="Times New Roman" w:hAnsiTheme="minorBidi" w:hint="cs"/>
          <w:sz w:val="28"/>
          <w:szCs w:val="28"/>
          <w:rtl/>
        </w:rPr>
        <w:t>لأنها</w:t>
      </w:r>
      <w:r w:rsidRPr="00440FF6">
        <w:rPr>
          <w:rFonts w:asciiTheme="minorBidi" w:eastAsia="Times New Roman" w:hAnsiTheme="minorBidi"/>
          <w:sz w:val="28"/>
          <w:szCs w:val="28"/>
          <w:rtl/>
        </w:rPr>
        <w:t xml:space="preserve"> تسبب انقباض الاوعية الدموية</w:t>
      </w:r>
      <w:r w:rsidRPr="00440FF6">
        <w:rPr>
          <w:rFonts w:asciiTheme="minorBidi" w:eastAsia="Times New Roman" w:hAnsiTheme="minorBidi"/>
          <w:sz w:val="28"/>
          <w:szCs w:val="28"/>
          <w:vertAlign w:val="superscript"/>
          <w:rtl/>
        </w:rPr>
        <w:footnoteReference w:customMarkFollows="1" w:id="9"/>
        <w:t>(1)</w:t>
      </w:r>
      <w:r w:rsidRPr="00440FF6">
        <w:rPr>
          <w:rFonts w:asciiTheme="minorBidi" w:eastAsia="Times New Roman" w:hAnsiTheme="minorBidi"/>
          <w:sz w:val="28"/>
          <w:szCs w:val="28"/>
          <w:rtl/>
        </w:rPr>
        <w:t xml:space="preserve">. ولهذا فقد حرمتها الكثير من التشريعات ، ومنها تشريعنا العراقي في المادة ( 127/ من قانون اصول المحاكمات الجزائية ).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lastRenderedPageBreak/>
        <w:t xml:space="preserve">أما بالنسبة للتنويم المغناطيسي للمتهم فهو احداث حالة من النوم الاصطناعي لبعض ملكات العقل عن طريق الايحاء بفكرة النوم فيخضع المتهم المنوم ( بفتح الواو ) لشخصية المنوم ( بكسر الواو ) </w:t>
      </w:r>
      <w:r w:rsidRPr="00440FF6">
        <w:rPr>
          <w:rFonts w:asciiTheme="minorBidi" w:eastAsia="Times New Roman" w:hAnsiTheme="minorBidi"/>
          <w:sz w:val="28"/>
          <w:szCs w:val="28"/>
          <w:vertAlign w:val="superscript"/>
          <w:rtl/>
        </w:rPr>
        <w:footnoteReference w:customMarkFollows="1" w:id="10"/>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 ويتم اللجوء للتنويم المغناطيسي أثناء الاستجواب</w:t>
      </w:r>
      <w:r w:rsidRPr="00440FF6">
        <w:rPr>
          <w:rFonts w:asciiTheme="minorBidi" w:eastAsia="Times New Roman" w:hAnsiTheme="minorBidi" w:hint="cs"/>
          <w:sz w:val="28"/>
          <w:szCs w:val="28"/>
          <w:rtl/>
        </w:rPr>
        <w:t>،</w:t>
      </w:r>
      <w:r w:rsidRPr="00440FF6">
        <w:rPr>
          <w:rFonts w:asciiTheme="minorBidi" w:eastAsia="Times New Roman" w:hAnsiTheme="minorBidi"/>
          <w:sz w:val="28"/>
          <w:szCs w:val="28"/>
          <w:rtl/>
        </w:rPr>
        <w:t xml:space="preserve"> </w:t>
      </w:r>
      <w:r w:rsidRPr="00440FF6">
        <w:rPr>
          <w:rFonts w:asciiTheme="minorBidi" w:eastAsia="Times New Roman" w:hAnsiTheme="minorBidi" w:hint="cs"/>
          <w:sz w:val="28"/>
          <w:szCs w:val="28"/>
          <w:rtl/>
        </w:rPr>
        <w:t>لأنه</w:t>
      </w:r>
      <w:r w:rsidRPr="00440FF6">
        <w:rPr>
          <w:rFonts w:asciiTheme="minorBidi" w:eastAsia="Times New Roman" w:hAnsiTheme="minorBidi"/>
          <w:sz w:val="28"/>
          <w:szCs w:val="28"/>
          <w:rtl/>
        </w:rPr>
        <w:t xml:space="preserve"> له اثر فعال في شخصية المتهم ، إذ يمكن استدعاء المعلومات المخزونة في عقل المتهم عن تفاصيل الجريمة ، كالمال المسروق وجثة القتيل والشركاء .. الخ والتي لا يمكن الوصول اليها </w:t>
      </w:r>
      <w:r w:rsidRPr="00440FF6">
        <w:rPr>
          <w:rFonts w:asciiTheme="minorBidi" w:eastAsia="Times New Roman" w:hAnsiTheme="minorBidi" w:hint="cs"/>
          <w:sz w:val="28"/>
          <w:szCs w:val="28"/>
          <w:rtl/>
        </w:rPr>
        <w:t>بالأساليب</w:t>
      </w:r>
      <w:r w:rsidRPr="00440FF6">
        <w:rPr>
          <w:rFonts w:asciiTheme="minorBidi" w:eastAsia="Times New Roman" w:hAnsiTheme="minorBidi"/>
          <w:sz w:val="28"/>
          <w:szCs w:val="28"/>
          <w:rtl/>
        </w:rPr>
        <w:t xml:space="preserve"> العادية </w:t>
      </w:r>
      <w:r w:rsidRPr="00440FF6">
        <w:rPr>
          <w:rFonts w:asciiTheme="minorBidi" w:eastAsia="Times New Roman" w:hAnsiTheme="minorBidi"/>
          <w:sz w:val="28"/>
          <w:szCs w:val="28"/>
          <w:vertAlign w:val="superscript"/>
          <w:rtl/>
        </w:rPr>
        <w:footnoteReference w:customMarkFollows="1" w:id="11"/>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وفيما يخص موقف الفقه من استخدام هذه الوسيلة فقد انقسم إلى اتجاهين :-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hint="cs"/>
          <w:sz w:val="28"/>
          <w:szCs w:val="28"/>
          <w:rtl/>
        </w:rPr>
        <w:t xml:space="preserve">الاتجاه الاول:- </w:t>
      </w:r>
      <w:r w:rsidRPr="00440FF6">
        <w:rPr>
          <w:rFonts w:asciiTheme="minorBidi" w:eastAsia="Times New Roman" w:hAnsiTheme="minorBidi"/>
          <w:sz w:val="28"/>
          <w:szCs w:val="28"/>
          <w:rtl/>
        </w:rPr>
        <w:t xml:space="preserve">يرى امكانية استخدام هذه الوسيلة مع توفير بعض الضمانات للمتهم كالحصول على موافقته ولا يمكن اللجوء إليه إلا في الجرائم الخطيرة </w:t>
      </w:r>
      <w:r w:rsidRPr="00440FF6">
        <w:rPr>
          <w:rFonts w:asciiTheme="minorBidi" w:eastAsia="Times New Roman" w:hAnsiTheme="minorBidi"/>
          <w:sz w:val="28"/>
          <w:szCs w:val="28"/>
          <w:vertAlign w:val="superscript"/>
          <w:rtl/>
        </w:rPr>
        <w:footnoteReference w:customMarkFollows="1" w:id="12"/>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hint="cs"/>
          <w:sz w:val="28"/>
          <w:szCs w:val="28"/>
          <w:rtl/>
        </w:rPr>
        <w:t>.</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أما </w:t>
      </w:r>
      <w:r w:rsidRPr="00440FF6">
        <w:rPr>
          <w:rFonts w:asciiTheme="minorBidi" w:eastAsia="Times New Roman" w:hAnsiTheme="minorBidi"/>
          <w:b/>
          <w:bCs/>
          <w:sz w:val="28"/>
          <w:szCs w:val="28"/>
          <w:rtl/>
        </w:rPr>
        <w:t>الاتجاه الثاني</w:t>
      </w:r>
      <w:r w:rsidRPr="00440FF6">
        <w:rPr>
          <w:rFonts w:asciiTheme="minorBidi" w:eastAsia="Times New Roman" w:hAnsiTheme="minorBidi"/>
          <w:sz w:val="28"/>
          <w:szCs w:val="28"/>
          <w:rtl/>
        </w:rPr>
        <w:t xml:space="preserve"> :- فيعارض استخدام هذه الوسيلة عند استجواب المتهم ويعدها من قبيل الاكراه المادي ، وفي ذلك يقول ( دي </w:t>
      </w:r>
      <w:proofErr w:type="spellStart"/>
      <w:r w:rsidRPr="00440FF6">
        <w:rPr>
          <w:rFonts w:asciiTheme="minorBidi" w:eastAsia="Times New Roman" w:hAnsiTheme="minorBidi"/>
          <w:sz w:val="28"/>
          <w:szCs w:val="28"/>
          <w:rtl/>
        </w:rPr>
        <w:t>لوجو</w:t>
      </w:r>
      <w:proofErr w:type="spellEnd"/>
      <w:r w:rsidRPr="00440FF6">
        <w:rPr>
          <w:rFonts w:asciiTheme="minorBidi" w:eastAsia="Times New Roman" w:hAnsiTheme="minorBidi"/>
          <w:sz w:val="28"/>
          <w:szCs w:val="28"/>
          <w:rtl/>
        </w:rPr>
        <w:t xml:space="preserve"> ) :" ان المنوم مغناطيسيا يتأثر بما يوحى اليه من قبل منومه فيخضع </w:t>
      </w:r>
      <w:r w:rsidRPr="00440FF6">
        <w:rPr>
          <w:rFonts w:asciiTheme="minorBidi" w:eastAsia="Times New Roman" w:hAnsiTheme="minorBidi" w:hint="cs"/>
          <w:sz w:val="28"/>
          <w:szCs w:val="28"/>
          <w:rtl/>
        </w:rPr>
        <w:t>لإرادته</w:t>
      </w:r>
      <w:r w:rsidRPr="00440FF6">
        <w:rPr>
          <w:rFonts w:asciiTheme="minorBidi" w:eastAsia="Times New Roman" w:hAnsiTheme="minorBidi"/>
          <w:sz w:val="28"/>
          <w:szCs w:val="28"/>
          <w:rtl/>
        </w:rPr>
        <w:t xml:space="preserve"> ويعد عندئذ مكرها ماديا ولذلك ينبغي حظر الالتجاء إلى التنويم المغناطيسي أثناء التحقيق " </w:t>
      </w:r>
      <w:r w:rsidRPr="00440FF6">
        <w:rPr>
          <w:rFonts w:asciiTheme="minorBidi" w:eastAsia="Times New Roman" w:hAnsiTheme="minorBidi"/>
          <w:sz w:val="28"/>
          <w:szCs w:val="28"/>
          <w:vertAlign w:val="superscript"/>
          <w:rtl/>
        </w:rPr>
        <w:footnoteReference w:customMarkFollows="1" w:id="13"/>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كما يعارض الأستاذ ( </w:t>
      </w:r>
      <w:proofErr w:type="spellStart"/>
      <w:r w:rsidRPr="00440FF6">
        <w:rPr>
          <w:rFonts w:asciiTheme="minorBidi" w:eastAsia="Times New Roman" w:hAnsiTheme="minorBidi"/>
          <w:sz w:val="28"/>
          <w:szCs w:val="28"/>
          <w:rtl/>
        </w:rPr>
        <w:t>كرافن</w:t>
      </w:r>
      <w:proofErr w:type="spellEnd"/>
      <w:r w:rsidRPr="00440FF6">
        <w:rPr>
          <w:rFonts w:asciiTheme="minorBidi" w:eastAsia="Times New Roman" w:hAnsiTheme="minorBidi"/>
          <w:sz w:val="28"/>
          <w:szCs w:val="28"/>
          <w:rtl/>
        </w:rPr>
        <w:t xml:space="preserve"> ) </w:t>
      </w:r>
      <w:r w:rsidRPr="00440FF6">
        <w:rPr>
          <w:rFonts w:asciiTheme="minorBidi" w:eastAsia="Times New Roman" w:hAnsiTheme="minorBidi"/>
          <w:sz w:val="28"/>
          <w:szCs w:val="28"/>
        </w:rPr>
        <w:t>Graven</w:t>
      </w:r>
      <w:r w:rsidRPr="00440FF6">
        <w:rPr>
          <w:rFonts w:asciiTheme="minorBidi" w:eastAsia="Times New Roman" w:hAnsiTheme="minorBidi"/>
          <w:sz w:val="28"/>
          <w:szCs w:val="28"/>
          <w:rtl/>
        </w:rPr>
        <w:t xml:space="preserve"> بشدة فكرة الاستجواب تحت تأثير التنويم المغناطيسي للحصول على اعترافات المتهم</w:t>
      </w:r>
      <w:r w:rsidRPr="00440FF6">
        <w:rPr>
          <w:rFonts w:asciiTheme="minorBidi" w:eastAsia="Times New Roman" w:hAnsiTheme="minorBidi" w:hint="cs"/>
          <w:sz w:val="28"/>
          <w:szCs w:val="28"/>
          <w:rtl/>
        </w:rPr>
        <w:t>،</w:t>
      </w:r>
      <w:r w:rsidRPr="00440FF6">
        <w:rPr>
          <w:rFonts w:asciiTheme="minorBidi" w:eastAsia="Times New Roman" w:hAnsiTheme="minorBidi"/>
          <w:sz w:val="28"/>
          <w:szCs w:val="28"/>
          <w:rtl/>
        </w:rPr>
        <w:t xml:space="preserve"> </w:t>
      </w:r>
      <w:r w:rsidRPr="00440FF6">
        <w:rPr>
          <w:rFonts w:asciiTheme="minorBidi" w:eastAsia="Times New Roman" w:hAnsiTheme="minorBidi" w:hint="cs"/>
          <w:sz w:val="28"/>
          <w:szCs w:val="28"/>
          <w:rtl/>
        </w:rPr>
        <w:t>لأنه</w:t>
      </w:r>
      <w:r w:rsidRPr="00440FF6">
        <w:rPr>
          <w:rFonts w:asciiTheme="minorBidi" w:eastAsia="Times New Roman" w:hAnsiTheme="minorBidi"/>
          <w:sz w:val="28"/>
          <w:szCs w:val="28"/>
          <w:rtl/>
        </w:rPr>
        <w:t xml:space="preserve"> ينطوي على اعتداء على شعور المتهم وانتهاك </w:t>
      </w:r>
      <w:r w:rsidRPr="00440FF6">
        <w:rPr>
          <w:rFonts w:asciiTheme="minorBidi" w:eastAsia="Times New Roman" w:hAnsiTheme="minorBidi" w:hint="cs"/>
          <w:sz w:val="28"/>
          <w:szCs w:val="28"/>
          <w:rtl/>
        </w:rPr>
        <w:t>لأسرار</w:t>
      </w:r>
      <w:r w:rsidRPr="00440FF6">
        <w:rPr>
          <w:rFonts w:asciiTheme="minorBidi" w:eastAsia="Times New Roman" w:hAnsiTheme="minorBidi"/>
          <w:sz w:val="28"/>
          <w:szCs w:val="28"/>
          <w:rtl/>
        </w:rPr>
        <w:t xml:space="preserve"> النفس البشرية الواجب احترامها </w:t>
      </w:r>
      <w:r w:rsidRPr="00440FF6">
        <w:rPr>
          <w:rFonts w:asciiTheme="minorBidi" w:eastAsia="Times New Roman" w:hAnsiTheme="minorBidi"/>
          <w:sz w:val="28"/>
          <w:szCs w:val="28"/>
          <w:vertAlign w:val="superscript"/>
          <w:rtl/>
        </w:rPr>
        <w:footnoteReference w:customMarkFollows="1" w:id="14"/>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اما عن موقف التشريعات فقد نصت اغلبها على تحريم اللجوء إلى هذه الوسيلة عند استجواب المتهم فقد اكدت المادة (208) / اولا عقوبات اردني على معاقبة كل من ينتزع من شخص اخر اعترافا بالقوة وبالتالي لا يجوز استجواب المدعى عليه من خلال استخدام وسائل العنف معه او التهديد او التنويم المغناطيسي او الوعيد</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 وكذلك نصت المادة (613) عقوبات ايطالي على ( معاقبة كل من تسبب في سلب حرية الارادة والتفكير لدى شخص ما بالتنويم المغناطيسي </w:t>
      </w:r>
      <w:r w:rsidRPr="00440FF6">
        <w:rPr>
          <w:rFonts w:asciiTheme="minorBidi" w:eastAsia="Times New Roman" w:hAnsiTheme="minorBidi"/>
          <w:sz w:val="28"/>
          <w:szCs w:val="28"/>
        </w:rPr>
        <w:t>…</w:t>
      </w:r>
      <w:r w:rsidRPr="00440FF6">
        <w:rPr>
          <w:rFonts w:asciiTheme="minorBidi" w:eastAsia="Times New Roman" w:hAnsiTheme="minorBidi"/>
          <w:sz w:val="28"/>
          <w:szCs w:val="28"/>
          <w:rtl/>
        </w:rPr>
        <w:t xml:space="preserve"> ) </w:t>
      </w:r>
      <w:r w:rsidRPr="00440FF6">
        <w:rPr>
          <w:rFonts w:asciiTheme="minorBidi" w:eastAsia="Times New Roman" w:hAnsiTheme="minorBidi"/>
          <w:sz w:val="28"/>
          <w:szCs w:val="28"/>
          <w:vertAlign w:val="superscript"/>
          <w:rtl/>
        </w:rPr>
        <w:footnoteReference w:customMarkFollows="1" w:id="15"/>
        <w:t>(2)</w:t>
      </w:r>
      <w:r w:rsidRPr="00440FF6">
        <w:rPr>
          <w:rFonts w:asciiTheme="minorBidi" w:eastAsia="Times New Roman" w:hAnsiTheme="minorBidi" w:hint="cs"/>
          <w:sz w:val="28"/>
          <w:szCs w:val="28"/>
          <w:rtl/>
        </w:rPr>
        <w:t>.</w:t>
      </w:r>
      <w:r w:rsidRPr="00440FF6">
        <w:rPr>
          <w:rFonts w:asciiTheme="minorBidi" w:eastAsia="Times New Roman" w:hAnsiTheme="minorBidi"/>
          <w:sz w:val="28"/>
          <w:szCs w:val="28"/>
          <w:rtl/>
        </w:rPr>
        <w:t xml:space="preserve"> كما نصت المادة 78 عقوبات أرجنتيني على اعتبار تنويم المتهم مغناطيسياً او اعطائه مخدرا او خمورا من قبيل العنف المعاقب </w:t>
      </w:r>
      <w:r w:rsidRPr="00440FF6">
        <w:rPr>
          <w:rFonts w:asciiTheme="minorBidi" w:eastAsia="Times New Roman" w:hAnsiTheme="minorBidi"/>
          <w:sz w:val="28"/>
          <w:szCs w:val="28"/>
          <w:rtl/>
        </w:rPr>
        <w:br/>
        <w:t xml:space="preserve">عليه . أما عن موقف التشريع العراقي فلم ينص صراحة على تحريم التنويم المغناطيسي ولكنها </w:t>
      </w:r>
      <w:r w:rsidRPr="00440FF6">
        <w:rPr>
          <w:rFonts w:asciiTheme="minorBidi" w:eastAsia="Times New Roman" w:hAnsiTheme="minorBidi"/>
          <w:sz w:val="28"/>
          <w:szCs w:val="28"/>
          <w:rtl/>
        </w:rPr>
        <w:lastRenderedPageBreak/>
        <w:t xml:space="preserve">تعد وسيلة غير مشروعة </w:t>
      </w:r>
      <w:proofErr w:type="spellStart"/>
      <w:r w:rsidRPr="00440FF6">
        <w:rPr>
          <w:rFonts w:asciiTheme="minorBidi" w:eastAsia="Times New Roman" w:hAnsiTheme="minorBidi"/>
          <w:sz w:val="28"/>
          <w:szCs w:val="28"/>
          <w:rtl/>
        </w:rPr>
        <w:t>لانها</w:t>
      </w:r>
      <w:proofErr w:type="spellEnd"/>
      <w:r w:rsidRPr="00440FF6">
        <w:rPr>
          <w:rFonts w:asciiTheme="minorBidi" w:eastAsia="Times New Roman" w:hAnsiTheme="minorBidi"/>
          <w:sz w:val="28"/>
          <w:szCs w:val="28"/>
          <w:rtl/>
        </w:rPr>
        <w:t xml:space="preserve"> تنتقص من كرامة المتهم الذي يفقد السيطرة على عقله عند استخدامها مما يمنع المتهم من السيطرة على إرادته </w:t>
      </w:r>
      <w:r w:rsidRPr="00440FF6">
        <w:rPr>
          <w:rFonts w:asciiTheme="minorBidi" w:eastAsia="Times New Roman" w:hAnsiTheme="minorBidi"/>
          <w:sz w:val="28"/>
          <w:szCs w:val="28"/>
          <w:vertAlign w:val="superscript"/>
          <w:rtl/>
        </w:rPr>
        <w:footnoteReference w:customMarkFollows="1" w:id="16"/>
        <w:t>(3)</w:t>
      </w:r>
      <w:r w:rsidRPr="00440FF6">
        <w:rPr>
          <w:rFonts w:asciiTheme="minorBidi" w:eastAsia="Times New Roman" w:hAnsiTheme="minorBidi"/>
          <w:sz w:val="28"/>
          <w:szCs w:val="28"/>
          <w:rtl/>
        </w:rPr>
        <w:t xml:space="preserve">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اما موقف القضاء فان غالبية المحاكم وفي مختلف الدول لا تجيز استخدام هذه الوسيلة عند استجواب المتهم ، ففي عام 1922 رفضت المحاكم الفرنسية الاعترافات المترتبة على استخدام هذه الوسيلة في قضية ( الخطابات المجهولة ) كما عاقبت الشخص الذي قام باستخدام تلك الوسيلة وتم سحب التحقيق منه ، وبالاتجاه نفسه ذهب القضاء الايطالي والامريكي والمصري </w:t>
      </w:r>
      <w:r w:rsidRPr="00440FF6">
        <w:rPr>
          <w:rFonts w:asciiTheme="minorBidi" w:eastAsia="Times New Roman" w:hAnsiTheme="minorBidi"/>
          <w:sz w:val="28"/>
          <w:szCs w:val="28"/>
          <w:vertAlign w:val="superscript"/>
          <w:rtl/>
        </w:rPr>
        <w:footnoteReference w:customMarkFollows="1" w:id="17"/>
        <w:t>(4)</w:t>
      </w:r>
      <w:r w:rsidRPr="00440FF6">
        <w:rPr>
          <w:rFonts w:asciiTheme="minorBidi" w:eastAsia="Times New Roman" w:hAnsiTheme="minorBidi"/>
          <w:sz w:val="28"/>
          <w:szCs w:val="28"/>
          <w:rtl/>
        </w:rPr>
        <w:t xml:space="preserve"> ، أما عن موقف القضاء العراقي فلم نعثر على حكم قضائي يفصح عن اتجاه المحاكم العراقية ، وان كنا نرى انه لا يختلف عما هو مستقر عليه في القضاء المقارن إذا ما عرضت عليه تلك المسألة ، ونحن بدورنا نعارض استخدام هذه الوسيلة كونها تشكل مساسا بجسم المتهم ، </w:t>
      </w:r>
      <w:r w:rsidRPr="00440FF6">
        <w:rPr>
          <w:rFonts w:asciiTheme="minorBidi" w:eastAsia="Times New Roman" w:hAnsiTheme="minorBidi" w:hint="cs"/>
          <w:sz w:val="28"/>
          <w:szCs w:val="28"/>
          <w:rtl/>
        </w:rPr>
        <w:t>لأنها</w:t>
      </w:r>
      <w:r w:rsidRPr="00440FF6">
        <w:rPr>
          <w:rFonts w:asciiTheme="minorBidi" w:eastAsia="Times New Roman" w:hAnsiTheme="minorBidi"/>
          <w:sz w:val="28"/>
          <w:szCs w:val="28"/>
          <w:rtl/>
        </w:rPr>
        <w:t xml:space="preserve"> تعد مساسا بصحته طيلة فترة التنويم ، مما يعني فقدانه للسيطرة على إرادته كما انها في الوقت نفسه تمثل اعتداءٍ على الحق في الصمت والنتائج المتحصلة منها لا يعول عليها في الاثبات . </w:t>
      </w:r>
    </w:p>
    <w:p w:rsidR="00440FF6" w:rsidRPr="00440FF6" w:rsidRDefault="00440FF6" w:rsidP="00440FF6">
      <w:pPr>
        <w:spacing w:after="0" w:line="240" w:lineRule="auto"/>
        <w:ind w:firstLine="565"/>
        <w:jc w:val="lowKashida"/>
        <w:rPr>
          <w:rFonts w:asciiTheme="minorBidi" w:eastAsia="Times New Roman" w:hAnsiTheme="minorBidi"/>
          <w:sz w:val="28"/>
          <w:szCs w:val="28"/>
          <w:rtl/>
        </w:rPr>
      </w:pPr>
      <w:r w:rsidRPr="00440FF6">
        <w:rPr>
          <w:rFonts w:asciiTheme="minorBidi" w:eastAsia="Times New Roman" w:hAnsiTheme="minorBidi"/>
          <w:sz w:val="28"/>
          <w:szCs w:val="28"/>
          <w:rtl/>
        </w:rPr>
        <w:t xml:space="preserve">أما بالنسبة لجهاز كشف الكذب </w:t>
      </w:r>
      <w:r w:rsidRPr="00440FF6">
        <w:rPr>
          <w:rFonts w:asciiTheme="minorBidi" w:eastAsia="Times New Roman" w:hAnsiTheme="minorBidi"/>
          <w:sz w:val="28"/>
          <w:szCs w:val="28"/>
          <w:vertAlign w:val="superscript"/>
          <w:rtl/>
        </w:rPr>
        <w:footnoteReference w:customMarkFollows="1" w:id="18"/>
        <w:t>(</w:t>
      </w:r>
      <w:r w:rsidRPr="00440FF6">
        <w:rPr>
          <w:rFonts w:asciiTheme="minorBidi" w:eastAsia="Times New Roman" w:hAnsiTheme="minorBidi" w:hint="cs"/>
          <w:sz w:val="28"/>
          <w:szCs w:val="28"/>
          <w:vertAlign w:val="superscript"/>
          <w:rtl/>
        </w:rPr>
        <w:t xml:space="preserve"> </w:t>
      </w:r>
      <w:r w:rsidRPr="00440FF6">
        <w:rPr>
          <w:rFonts w:asciiTheme="minorBidi" w:eastAsia="Times New Roman" w:hAnsiTheme="minorBidi"/>
          <w:sz w:val="28"/>
          <w:szCs w:val="28"/>
          <w:vertAlign w:val="superscript"/>
          <w:rtl/>
        </w:rPr>
        <w:t>)</w:t>
      </w:r>
      <w:r w:rsidRPr="00440FF6">
        <w:rPr>
          <w:rFonts w:asciiTheme="minorBidi" w:eastAsia="Times New Roman" w:hAnsiTheme="minorBidi"/>
          <w:sz w:val="28"/>
          <w:szCs w:val="28"/>
          <w:rtl/>
        </w:rPr>
        <w:t xml:space="preserve"> فهو يمثل </w:t>
      </w:r>
      <w:r w:rsidRPr="00440FF6">
        <w:rPr>
          <w:rFonts w:asciiTheme="minorBidi" w:eastAsia="Times New Roman" w:hAnsiTheme="minorBidi" w:hint="cs"/>
          <w:sz w:val="28"/>
          <w:szCs w:val="28"/>
          <w:rtl/>
        </w:rPr>
        <w:t>اعتداء</w:t>
      </w:r>
      <w:r w:rsidRPr="00440FF6">
        <w:rPr>
          <w:rFonts w:asciiTheme="minorBidi" w:eastAsia="Times New Roman" w:hAnsiTheme="minorBidi"/>
          <w:sz w:val="28"/>
          <w:szCs w:val="28"/>
          <w:rtl/>
        </w:rPr>
        <w:t xml:space="preserve"> على الكيان المادي إذا تم اللجوء إليه على الرغم من إرادة المتهم أو بإرادته ، ولكن تم استخدامه لفترة طويلة وذلك من خلال الاطالة في الاسئلة التي يتم توجيهها للمتهم كما انه يمثل اكراها معنويا إذا تم اللجوء اليه </w:t>
      </w:r>
      <w:r w:rsidRPr="00440FF6">
        <w:rPr>
          <w:rFonts w:asciiTheme="minorBidi" w:eastAsia="Times New Roman" w:hAnsiTheme="minorBidi" w:hint="cs"/>
          <w:sz w:val="28"/>
          <w:szCs w:val="28"/>
          <w:rtl/>
        </w:rPr>
        <w:t>بإرادة</w:t>
      </w:r>
      <w:r w:rsidRPr="00440FF6">
        <w:rPr>
          <w:rFonts w:asciiTheme="minorBidi" w:eastAsia="Times New Roman" w:hAnsiTheme="minorBidi"/>
          <w:sz w:val="28"/>
          <w:szCs w:val="28"/>
          <w:rtl/>
        </w:rPr>
        <w:t xml:space="preserve"> المتهم وبدون اطالة ، </w:t>
      </w:r>
      <w:r w:rsidRPr="00440FF6">
        <w:rPr>
          <w:rFonts w:asciiTheme="minorBidi" w:eastAsia="Times New Roman" w:hAnsiTheme="minorBidi" w:hint="cs"/>
          <w:sz w:val="28"/>
          <w:szCs w:val="28"/>
          <w:rtl/>
        </w:rPr>
        <w:t>لأنه</w:t>
      </w:r>
      <w:r w:rsidRPr="00440FF6">
        <w:rPr>
          <w:rFonts w:asciiTheme="minorBidi" w:eastAsia="Times New Roman" w:hAnsiTheme="minorBidi"/>
          <w:sz w:val="28"/>
          <w:szCs w:val="28"/>
          <w:rtl/>
        </w:rPr>
        <w:t xml:space="preserve"> ينطوي على مساس </w:t>
      </w:r>
      <w:r w:rsidRPr="00440FF6">
        <w:rPr>
          <w:rFonts w:asciiTheme="minorBidi" w:eastAsia="Times New Roman" w:hAnsiTheme="minorBidi" w:hint="cs"/>
          <w:sz w:val="28"/>
          <w:szCs w:val="28"/>
          <w:rtl/>
        </w:rPr>
        <w:t>بإرادته،</w:t>
      </w:r>
      <w:r w:rsidRPr="00440FF6">
        <w:rPr>
          <w:rFonts w:asciiTheme="minorBidi" w:eastAsia="Times New Roman" w:hAnsiTheme="minorBidi"/>
          <w:sz w:val="28"/>
          <w:szCs w:val="28"/>
          <w:rtl/>
        </w:rPr>
        <w:t xml:space="preserve"> لان ما يصدر عنه يعد اعترافا صادرا عن ارادة غير حرة وكونه يمثل اعتداء على حق الدفاع .</w:t>
      </w:r>
    </w:p>
    <w:p w:rsidR="00C20E54" w:rsidRPr="00B87747" w:rsidRDefault="00C20E54" w:rsidP="00BC455F">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0D" w:rsidRDefault="001F6A0D" w:rsidP="006D374C">
      <w:pPr>
        <w:spacing w:after="0" w:line="240" w:lineRule="auto"/>
      </w:pPr>
      <w:r>
        <w:separator/>
      </w:r>
    </w:p>
  </w:endnote>
  <w:endnote w:type="continuationSeparator" w:id="0">
    <w:p w:rsidR="001F6A0D" w:rsidRDefault="001F6A0D"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0D" w:rsidRDefault="001F6A0D" w:rsidP="006D374C">
      <w:pPr>
        <w:spacing w:after="0" w:line="240" w:lineRule="auto"/>
      </w:pPr>
      <w:r>
        <w:separator/>
      </w:r>
    </w:p>
  </w:footnote>
  <w:footnote w:type="continuationSeparator" w:id="0">
    <w:p w:rsidR="001F6A0D" w:rsidRDefault="001F6A0D" w:rsidP="006D374C">
      <w:pPr>
        <w:spacing w:after="0" w:line="240" w:lineRule="auto"/>
      </w:pPr>
      <w:r>
        <w:continuationSeparator/>
      </w:r>
    </w:p>
  </w:footnote>
  <w:footnote w:id="1">
    <w:p w:rsidR="00440FF6" w:rsidRDefault="00440FF6" w:rsidP="00440FF6"/>
    <w:p w:rsidR="00440FF6" w:rsidRDefault="00440FF6" w:rsidP="00440FF6">
      <w:pPr>
        <w:pStyle w:val="a4"/>
        <w:ind w:left="282" w:hanging="282"/>
        <w:jc w:val="lowKashida"/>
        <w:rPr>
          <w:rtl/>
        </w:rPr>
      </w:pPr>
    </w:p>
  </w:footnote>
  <w:footnote w:id="2">
    <w:p w:rsidR="00440FF6" w:rsidRDefault="00440FF6" w:rsidP="00440FF6"/>
    <w:p w:rsidR="00440FF6" w:rsidRDefault="00440FF6" w:rsidP="00440FF6">
      <w:pPr>
        <w:pStyle w:val="a4"/>
        <w:jc w:val="lowKashida"/>
        <w:rPr>
          <w:rtl/>
        </w:rPr>
      </w:pPr>
    </w:p>
  </w:footnote>
  <w:footnote w:id="3">
    <w:p w:rsidR="00440FF6" w:rsidRDefault="00440FF6" w:rsidP="00440FF6"/>
    <w:p w:rsidR="00440FF6" w:rsidRDefault="00440FF6" w:rsidP="00440FF6">
      <w:pPr>
        <w:pStyle w:val="a4"/>
        <w:ind w:left="282" w:hanging="282"/>
        <w:jc w:val="lowKashida"/>
        <w:rPr>
          <w:rtl/>
        </w:rPr>
      </w:pPr>
    </w:p>
  </w:footnote>
  <w:footnote w:id="4">
    <w:p w:rsidR="00440FF6" w:rsidRDefault="00440FF6" w:rsidP="00440FF6"/>
    <w:p w:rsidR="00440FF6" w:rsidRDefault="00440FF6" w:rsidP="00440FF6">
      <w:pPr>
        <w:pStyle w:val="a4"/>
        <w:jc w:val="lowKashida"/>
        <w:rPr>
          <w:rtl/>
        </w:rPr>
      </w:pPr>
    </w:p>
  </w:footnote>
  <w:footnote w:id="5">
    <w:p w:rsidR="00440FF6" w:rsidRDefault="00440FF6" w:rsidP="00440FF6"/>
    <w:p w:rsidR="00440FF6" w:rsidRDefault="00440FF6" w:rsidP="00440FF6">
      <w:pPr>
        <w:pStyle w:val="a4"/>
        <w:jc w:val="lowKashida"/>
        <w:rPr>
          <w:rtl/>
        </w:rPr>
      </w:pPr>
    </w:p>
  </w:footnote>
  <w:footnote w:id="6">
    <w:p w:rsidR="00440FF6" w:rsidRDefault="00440FF6" w:rsidP="00440FF6"/>
    <w:p w:rsidR="00440FF6" w:rsidRDefault="00440FF6" w:rsidP="00440FF6">
      <w:pPr>
        <w:pStyle w:val="a4"/>
        <w:ind w:left="282" w:hanging="282"/>
        <w:jc w:val="lowKashida"/>
        <w:rPr>
          <w:rtl/>
        </w:rPr>
      </w:pPr>
    </w:p>
  </w:footnote>
  <w:footnote w:id="7">
    <w:p w:rsidR="00440FF6" w:rsidRDefault="00440FF6" w:rsidP="00440FF6"/>
    <w:p w:rsidR="00440FF6" w:rsidRDefault="00440FF6" w:rsidP="00440FF6">
      <w:pPr>
        <w:pStyle w:val="a4"/>
        <w:jc w:val="lowKashida"/>
        <w:rPr>
          <w:rtl/>
        </w:rPr>
      </w:pPr>
    </w:p>
  </w:footnote>
  <w:footnote w:id="8">
    <w:p w:rsidR="00440FF6" w:rsidRDefault="00440FF6" w:rsidP="00440FF6">
      <w:pPr>
        <w:pStyle w:val="a4"/>
        <w:ind w:left="282" w:hanging="284"/>
        <w:jc w:val="lowKashida"/>
        <w:rPr>
          <w:sz w:val="24"/>
        </w:rPr>
      </w:pPr>
    </w:p>
    <w:p w:rsidR="00440FF6" w:rsidRDefault="00440FF6" w:rsidP="00440FF6">
      <w:pPr>
        <w:pStyle w:val="a4"/>
        <w:bidi w:val="0"/>
        <w:jc w:val="lowKashida"/>
        <w:rPr>
          <w:sz w:val="24"/>
          <w:rtl/>
        </w:rPr>
      </w:pPr>
      <w:r>
        <w:rPr>
          <w:sz w:val="24"/>
        </w:rPr>
        <w:t xml:space="preserve">. </w:t>
      </w:r>
    </w:p>
  </w:footnote>
  <w:footnote w:id="9">
    <w:p w:rsidR="00440FF6" w:rsidRDefault="00440FF6" w:rsidP="00440FF6"/>
    <w:p w:rsidR="00440FF6" w:rsidRDefault="00440FF6" w:rsidP="00440FF6">
      <w:pPr>
        <w:pStyle w:val="a4"/>
        <w:rPr>
          <w:rtl/>
        </w:rPr>
      </w:pPr>
    </w:p>
  </w:footnote>
  <w:footnote w:id="10">
    <w:p w:rsidR="00440FF6" w:rsidRDefault="00440FF6" w:rsidP="00440FF6"/>
    <w:p w:rsidR="00440FF6" w:rsidRDefault="00440FF6" w:rsidP="00440FF6">
      <w:pPr>
        <w:pStyle w:val="a4"/>
        <w:jc w:val="lowKashida"/>
        <w:rPr>
          <w:rtl/>
        </w:rPr>
      </w:pPr>
    </w:p>
  </w:footnote>
  <w:footnote w:id="11">
    <w:p w:rsidR="00440FF6" w:rsidRDefault="00440FF6" w:rsidP="00440FF6"/>
    <w:p w:rsidR="00440FF6" w:rsidRDefault="00440FF6" w:rsidP="00440FF6">
      <w:pPr>
        <w:pStyle w:val="a4"/>
        <w:jc w:val="lowKashida"/>
        <w:rPr>
          <w:rtl/>
        </w:rPr>
      </w:pPr>
    </w:p>
  </w:footnote>
  <w:footnote w:id="12">
    <w:p w:rsidR="00440FF6" w:rsidRDefault="00440FF6" w:rsidP="00440FF6"/>
    <w:p w:rsidR="00440FF6" w:rsidRDefault="00440FF6" w:rsidP="00440FF6">
      <w:pPr>
        <w:pStyle w:val="a4"/>
        <w:ind w:left="282" w:hanging="282"/>
        <w:jc w:val="lowKashida"/>
        <w:rPr>
          <w:rtl/>
        </w:rPr>
      </w:pPr>
    </w:p>
  </w:footnote>
  <w:footnote w:id="13">
    <w:p w:rsidR="00440FF6" w:rsidRDefault="00440FF6" w:rsidP="00440FF6"/>
    <w:p w:rsidR="00440FF6" w:rsidRDefault="00440FF6" w:rsidP="00440FF6">
      <w:pPr>
        <w:pStyle w:val="a4"/>
        <w:ind w:left="282" w:hanging="282"/>
        <w:jc w:val="lowKashida"/>
        <w:rPr>
          <w:rtl/>
        </w:rPr>
      </w:pPr>
    </w:p>
  </w:footnote>
  <w:footnote w:id="14">
    <w:p w:rsidR="00440FF6" w:rsidRDefault="00440FF6" w:rsidP="00440FF6"/>
    <w:p w:rsidR="00440FF6" w:rsidRDefault="00440FF6" w:rsidP="00440FF6">
      <w:pPr>
        <w:pStyle w:val="a4"/>
        <w:ind w:left="282" w:hanging="282"/>
        <w:jc w:val="lowKashida"/>
        <w:rPr>
          <w:rtl/>
        </w:rPr>
      </w:pPr>
    </w:p>
  </w:footnote>
  <w:footnote w:id="15">
    <w:p w:rsidR="00440FF6" w:rsidRDefault="00440FF6" w:rsidP="00440FF6"/>
    <w:p w:rsidR="00440FF6" w:rsidRDefault="00440FF6" w:rsidP="00440FF6">
      <w:pPr>
        <w:pStyle w:val="a4"/>
        <w:jc w:val="lowKashida"/>
        <w:rPr>
          <w:rtl/>
        </w:rPr>
      </w:pPr>
    </w:p>
  </w:footnote>
  <w:footnote w:id="16">
    <w:p w:rsidR="00440FF6" w:rsidRDefault="00440FF6" w:rsidP="00440FF6"/>
    <w:p w:rsidR="00440FF6" w:rsidRDefault="00440FF6" w:rsidP="00440FF6">
      <w:pPr>
        <w:pStyle w:val="a4"/>
        <w:jc w:val="lowKashida"/>
        <w:rPr>
          <w:rtl/>
        </w:rPr>
      </w:pPr>
    </w:p>
  </w:footnote>
  <w:footnote w:id="17">
    <w:p w:rsidR="00440FF6" w:rsidRDefault="00440FF6" w:rsidP="00440FF6">
      <w:pPr>
        <w:pStyle w:val="a4"/>
        <w:ind w:left="282" w:hanging="282"/>
        <w:jc w:val="lowKashida"/>
        <w:rPr>
          <w:rtl/>
        </w:rPr>
      </w:pPr>
      <w:r>
        <w:rPr>
          <w:rtl/>
        </w:rPr>
        <w:t xml:space="preserve">. </w:t>
      </w:r>
    </w:p>
  </w:footnote>
  <w:footnote w:id="18">
    <w:p w:rsidR="00440FF6" w:rsidRDefault="00440FF6" w:rsidP="00440FF6"/>
    <w:p w:rsidR="00440FF6" w:rsidRDefault="00440FF6" w:rsidP="00440FF6">
      <w:pPr>
        <w:pStyle w:val="a4"/>
        <w:jc w:val="lowKashida"/>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2F9D4EDC"/>
    <w:multiLevelType w:val="singleLevel"/>
    <w:tmpl w:val="666A6F92"/>
    <w:lvl w:ilvl="0">
      <w:start w:val="1"/>
      <w:numFmt w:val="decimal"/>
      <w:lvlText w:val="%1."/>
      <w:lvlJc w:val="left"/>
      <w:pPr>
        <w:tabs>
          <w:tab w:val="num" w:pos="360"/>
        </w:tabs>
        <w:ind w:left="360" w:hanging="360"/>
      </w:pPr>
      <w:rPr>
        <w:rFonts w:hint="default"/>
        <w:sz w:val="30"/>
      </w:rPr>
    </w:lvl>
  </w:abstractNum>
  <w:abstractNum w:abstractNumId="2">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1F6A0D"/>
    <w:rsid w:val="00280E20"/>
    <w:rsid w:val="003973ED"/>
    <w:rsid w:val="00417789"/>
    <w:rsid w:val="00440FF6"/>
    <w:rsid w:val="0044715D"/>
    <w:rsid w:val="00641177"/>
    <w:rsid w:val="00645354"/>
    <w:rsid w:val="006D374C"/>
    <w:rsid w:val="00807038"/>
    <w:rsid w:val="008841EE"/>
    <w:rsid w:val="009B0584"/>
    <w:rsid w:val="00A66F79"/>
    <w:rsid w:val="00B73679"/>
    <w:rsid w:val="00B87747"/>
    <w:rsid w:val="00BC455F"/>
    <w:rsid w:val="00BD4FF6"/>
    <w:rsid w:val="00BD547E"/>
    <w:rsid w:val="00C20E54"/>
    <w:rsid w:val="00C73E90"/>
    <w:rsid w:val="00D033CB"/>
    <w:rsid w:val="00D26104"/>
    <w:rsid w:val="00D51972"/>
    <w:rsid w:val="00E17887"/>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1091</Words>
  <Characters>6220</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2015-09-25T19:17:00Z</dcterms:created>
  <dcterms:modified xsi:type="dcterms:W3CDTF">2015-09-25T19:17:00Z</dcterms:modified>
</cp:coreProperties>
</file>