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B73679">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 xml:space="preserve">المحاضرة </w:t>
      </w:r>
      <w:r w:rsidR="001771C0">
        <w:rPr>
          <w:rFonts w:ascii="Arial" w:eastAsia="Times New Roman" w:hAnsi="Arial" w:cs="Simple Bold Jut Out" w:hint="cs"/>
          <w:sz w:val="36"/>
          <w:szCs w:val="36"/>
          <w:rtl/>
        </w:rPr>
        <w:t>2</w:t>
      </w:r>
      <w:r w:rsidR="00B73679">
        <w:rPr>
          <w:rFonts w:ascii="Arial" w:eastAsia="Times New Roman" w:hAnsi="Arial" w:cs="Simple Bold Jut Out" w:hint="cs"/>
          <w:sz w:val="36"/>
          <w:szCs w:val="36"/>
          <w:rtl/>
        </w:rPr>
        <w:t>8</w:t>
      </w:r>
    </w:p>
    <w:p w:rsidR="00B73679" w:rsidRPr="00B73679" w:rsidRDefault="00B73679" w:rsidP="00B73679">
      <w:pPr>
        <w:spacing w:after="0" w:line="240" w:lineRule="auto"/>
        <w:jc w:val="center"/>
        <w:rPr>
          <w:rFonts w:ascii="Times New Roman" w:eastAsia="Times New Roman" w:hAnsi="Times New Roman" w:cs="PT Bold Heading"/>
          <w:b/>
          <w:bCs/>
          <w:sz w:val="44"/>
          <w:szCs w:val="44"/>
          <w:rtl/>
        </w:rPr>
      </w:pPr>
      <w:r w:rsidRPr="00B73679">
        <w:rPr>
          <w:rFonts w:ascii="Times New Roman" w:eastAsia="Times New Roman" w:hAnsi="Times New Roman" w:cs="PT Bold Heading" w:hint="cs"/>
          <w:b/>
          <w:bCs/>
          <w:sz w:val="44"/>
          <w:szCs w:val="44"/>
          <w:rtl/>
        </w:rPr>
        <w:t>طرق الحضور والاجراءات التحقيقية الابتدائية</w:t>
      </w:r>
    </w:p>
    <w:p w:rsidR="00B73679" w:rsidRPr="00B73679" w:rsidRDefault="00B73679" w:rsidP="00B73679">
      <w:pPr>
        <w:spacing w:after="0" w:line="240" w:lineRule="auto"/>
        <w:rPr>
          <w:rFonts w:ascii="Times New Roman" w:eastAsia="Times New Roman" w:hAnsi="Times New Roman" w:cs="Traditional Arabic"/>
          <w:sz w:val="20"/>
          <w:szCs w:val="24"/>
          <w:rtl/>
        </w:rPr>
      </w:pPr>
    </w:p>
    <w:p w:rsidR="00B73679" w:rsidRPr="00B73679" w:rsidRDefault="00B73679" w:rsidP="00B73679">
      <w:pPr>
        <w:spacing w:after="0" w:line="240" w:lineRule="auto"/>
        <w:jc w:val="both"/>
        <w:rPr>
          <w:rFonts w:asciiTheme="minorBidi" w:eastAsia="Times New Roman" w:hAnsiTheme="minorBidi"/>
          <w:sz w:val="28"/>
          <w:szCs w:val="28"/>
          <w:rtl/>
        </w:rPr>
      </w:pPr>
      <w:r w:rsidRPr="00B73679">
        <w:rPr>
          <w:rFonts w:asciiTheme="minorBidi" w:eastAsia="Times New Roman" w:hAnsiTheme="minorBidi"/>
          <w:sz w:val="28"/>
          <w:szCs w:val="28"/>
          <w:rtl/>
        </w:rPr>
        <w:t xml:space="preserve">هناك العديد من الاجراءات التحقيقية التي يمكن للسلطات المختصة اللجوء اليها </w:t>
      </w:r>
      <w:r w:rsidRPr="00B73679">
        <w:rPr>
          <w:rFonts w:asciiTheme="minorBidi" w:eastAsia="Times New Roman" w:hAnsiTheme="minorBidi" w:hint="cs"/>
          <w:sz w:val="28"/>
          <w:szCs w:val="28"/>
          <w:rtl/>
        </w:rPr>
        <w:t>من اجل الوصول الى الحقيقية في الدعوى الجزائية واتخاذ القرار المناسب فيها بعد تكوين القناعة القانونية والقضائية لديها من خلال الادلة المتحصلة من تلك الاجراءات.</w:t>
      </w:r>
    </w:p>
    <w:p w:rsidR="00B73679" w:rsidRPr="00B73679" w:rsidRDefault="00B73679" w:rsidP="00B73679">
      <w:pPr>
        <w:spacing w:after="0" w:line="240" w:lineRule="auto"/>
        <w:jc w:val="both"/>
        <w:rPr>
          <w:rFonts w:asciiTheme="minorBidi" w:eastAsia="Times New Roman" w:hAnsiTheme="minorBidi"/>
          <w:sz w:val="28"/>
          <w:szCs w:val="28"/>
          <w:rtl/>
        </w:rPr>
      </w:pPr>
    </w:p>
    <w:p w:rsidR="00B73679" w:rsidRPr="00B73679" w:rsidRDefault="00B73679" w:rsidP="00B73679">
      <w:pPr>
        <w:spacing w:after="0" w:line="240" w:lineRule="auto"/>
        <w:jc w:val="both"/>
        <w:rPr>
          <w:rFonts w:asciiTheme="minorBidi" w:eastAsia="Times New Roman" w:hAnsiTheme="minorBidi"/>
          <w:sz w:val="28"/>
          <w:szCs w:val="28"/>
          <w:rtl/>
        </w:rPr>
      </w:pPr>
      <w:r w:rsidRPr="00B73679">
        <w:rPr>
          <w:rFonts w:asciiTheme="minorBidi" w:eastAsia="Times New Roman" w:hAnsiTheme="minorBidi" w:hint="cs"/>
          <w:sz w:val="28"/>
          <w:szCs w:val="28"/>
          <w:rtl/>
        </w:rPr>
        <w:t xml:space="preserve">وهذه الاجراءات </w:t>
      </w:r>
      <w:r w:rsidRPr="00B73679">
        <w:rPr>
          <w:rFonts w:asciiTheme="minorBidi" w:eastAsia="Times New Roman" w:hAnsiTheme="minorBidi"/>
          <w:sz w:val="28"/>
          <w:szCs w:val="28"/>
          <w:rtl/>
        </w:rPr>
        <w:t>منها ما لا</w:t>
      </w:r>
      <w:r w:rsidRPr="00B73679">
        <w:rPr>
          <w:rFonts w:asciiTheme="minorBidi" w:eastAsia="Times New Roman" w:hAnsiTheme="minorBidi" w:hint="cs"/>
          <w:sz w:val="28"/>
          <w:szCs w:val="28"/>
          <w:rtl/>
        </w:rPr>
        <w:t xml:space="preserve"> </w:t>
      </w:r>
      <w:r w:rsidRPr="00B73679">
        <w:rPr>
          <w:rFonts w:asciiTheme="minorBidi" w:eastAsia="Times New Roman" w:hAnsiTheme="minorBidi"/>
          <w:sz w:val="28"/>
          <w:szCs w:val="28"/>
          <w:rtl/>
        </w:rPr>
        <w:t>يجوز اللجوء في</w:t>
      </w:r>
      <w:r w:rsidRPr="00B73679">
        <w:rPr>
          <w:rFonts w:asciiTheme="minorBidi" w:eastAsia="Times New Roman" w:hAnsiTheme="minorBidi" w:hint="cs"/>
          <w:sz w:val="28"/>
          <w:szCs w:val="28"/>
          <w:rtl/>
        </w:rPr>
        <w:t xml:space="preserve"> تنفيذه الى</w:t>
      </w:r>
      <w:r w:rsidRPr="00B73679">
        <w:rPr>
          <w:rFonts w:asciiTheme="minorBidi" w:eastAsia="Times New Roman" w:hAnsiTheme="minorBidi"/>
          <w:sz w:val="28"/>
          <w:szCs w:val="28"/>
          <w:rtl/>
        </w:rPr>
        <w:t xml:space="preserve"> القوة أو الاكراه </w:t>
      </w:r>
      <w:r w:rsidRPr="00B73679">
        <w:rPr>
          <w:rFonts w:asciiTheme="minorBidi" w:eastAsia="Times New Roman" w:hAnsiTheme="minorBidi" w:hint="cs"/>
          <w:sz w:val="28"/>
          <w:szCs w:val="28"/>
          <w:rtl/>
        </w:rPr>
        <w:t>بحق المطلوب اتخاذ الاجراء بحقه ،عند رفضه الانصياع طواعية واختياراً، كما هو الحال في التكليف بالحضور والاستجواب بالنسبة للمتهم، والا تعرض المخالف للمساءلة القانونية التي تصل الى حد فرض العقوبة الجزائية بحقه كون الفعل يشكل جريمة منصوص عليها في قانون العقوبات العراقي ،كما هو الحال في تجاوز حدود السلطة الممنوحة للموظف المختص.</w:t>
      </w:r>
    </w:p>
    <w:p w:rsidR="00B73679" w:rsidRPr="00B73679" w:rsidRDefault="00B73679" w:rsidP="00B73679">
      <w:pPr>
        <w:spacing w:after="0" w:line="240" w:lineRule="auto"/>
        <w:jc w:val="both"/>
        <w:rPr>
          <w:rFonts w:asciiTheme="minorBidi" w:eastAsia="Times New Roman" w:hAnsiTheme="minorBidi"/>
          <w:sz w:val="28"/>
          <w:szCs w:val="28"/>
          <w:rtl/>
        </w:rPr>
      </w:pPr>
    </w:p>
    <w:p w:rsidR="00B73679" w:rsidRPr="00B73679" w:rsidRDefault="00B73679" w:rsidP="00B73679">
      <w:pPr>
        <w:spacing w:after="0" w:line="240" w:lineRule="auto"/>
        <w:jc w:val="both"/>
        <w:rPr>
          <w:rFonts w:asciiTheme="minorBidi" w:eastAsia="Times New Roman" w:hAnsiTheme="minorBidi"/>
          <w:sz w:val="28"/>
          <w:szCs w:val="28"/>
          <w:rtl/>
        </w:rPr>
      </w:pPr>
      <w:r w:rsidRPr="00B73679">
        <w:rPr>
          <w:rFonts w:asciiTheme="minorBidi" w:eastAsia="Times New Roman" w:hAnsiTheme="minorBidi" w:hint="cs"/>
          <w:sz w:val="28"/>
          <w:szCs w:val="28"/>
          <w:rtl/>
        </w:rPr>
        <w:t>في حين يجوز اللجوء في نوع اخر من الاجراءات التحقيقية الى استخدام القوى بحق من يراد التنفيذ تجاهه من قبل السلطات المختصة، لاسيما عند عدم الاستجابة والخضوع الطوعي لتنفيذ تلك الاجراءات ،والتي قد تصل الى حد الاجازة والتصريح باستخدام السلاح والقوة المميتة، دون ان يترتب على القائم بالتنفيذ أية مسؤولية قانونية، ومن تلك الاجراءات القبض والتوقيف والتفتيش، مالم يتجاوز القائم بالتكليف الحدود المسموح بها قانوناً.</w:t>
      </w:r>
    </w:p>
    <w:p w:rsidR="00B73679" w:rsidRPr="00B73679" w:rsidRDefault="00B73679" w:rsidP="00B73679">
      <w:pPr>
        <w:spacing w:after="0" w:line="240" w:lineRule="auto"/>
        <w:jc w:val="both"/>
        <w:rPr>
          <w:rFonts w:asciiTheme="minorBidi" w:eastAsia="Times New Roman" w:hAnsiTheme="minorBidi"/>
          <w:sz w:val="28"/>
          <w:szCs w:val="28"/>
          <w:rtl/>
        </w:rPr>
      </w:pPr>
    </w:p>
    <w:p w:rsidR="00B73679" w:rsidRPr="00B73679" w:rsidRDefault="00B73679" w:rsidP="00B73679">
      <w:pPr>
        <w:spacing w:after="0" w:line="240" w:lineRule="auto"/>
        <w:jc w:val="both"/>
        <w:rPr>
          <w:rFonts w:asciiTheme="minorBidi" w:eastAsia="Times New Roman" w:hAnsiTheme="minorBidi"/>
          <w:sz w:val="28"/>
          <w:szCs w:val="28"/>
          <w:rtl/>
        </w:rPr>
      </w:pPr>
      <w:r w:rsidRPr="00B73679">
        <w:rPr>
          <w:rFonts w:asciiTheme="minorBidi" w:eastAsia="Times New Roman" w:hAnsiTheme="minorBidi" w:hint="cs"/>
          <w:sz w:val="28"/>
          <w:szCs w:val="28"/>
          <w:rtl/>
        </w:rPr>
        <w:t>ومن اجل تسليط الضوء على تلك الاجراءات التحقيقية بنوعيها بشيء من الدقة والتفصيل سوف نتطرق لها تباعاً في هذا المبحث</w:t>
      </w:r>
    </w:p>
    <w:p w:rsidR="00B73679" w:rsidRPr="00B73679" w:rsidRDefault="00B73679" w:rsidP="00B73679">
      <w:pPr>
        <w:spacing w:after="0" w:line="240" w:lineRule="auto"/>
        <w:rPr>
          <w:rFonts w:ascii="Times New Roman" w:eastAsia="Times New Roman" w:hAnsi="Times New Roman" w:cs="Traditional Arabic"/>
          <w:sz w:val="20"/>
          <w:szCs w:val="24"/>
          <w:rtl/>
        </w:rPr>
      </w:pPr>
    </w:p>
    <w:p w:rsidR="00B73679" w:rsidRPr="00B73679" w:rsidRDefault="00B73679" w:rsidP="00B73679">
      <w:pPr>
        <w:spacing w:after="0" w:line="240" w:lineRule="auto"/>
        <w:rPr>
          <w:rFonts w:ascii="Times New Roman" w:eastAsia="Times New Roman" w:hAnsi="Times New Roman" w:cs="Traditional Arabic"/>
          <w:sz w:val="20"/>
          <w:szCs w:val="24"/>
          <w:rtl/>
        </w:rPr>
      </w:pPr>
    </w:p>
    <w:p w:rsidR="00B73679" w:rsidRPr="00B73679" w:rsidRDefault="00B73679" w:rsidP="00B73679">
      <w:pPr>
        <w:spacing w:after="0" w:line="240" w:lineRule="auto"/>
        <w:jc w:val="center"/>
        <w:rPr>
          <w:rFonts w:ascii="Times New Roman" w:eastAsia="Times New Roman" w:hAnsi="Times New Roman" w:cs="PT Bold Heading"/>
          <w:b/>
          <w:bCs/>
          <w:sz w:val="40"/>
          <w:szCs w:val="40"/>
          <w:rtl/>
        </w:rPr>
      </w:pPr>
      <w:r w:rsidRPr="00B73679">
        <w:rPr>
          <w:rFonts w:ascii="Times New Roman" w:eastAsia="Times New Roman" w:hAnsi="Times New Roman" w:cs="PT Bold Heading"/>
          <w:b/>
          <w:bCs/>
          <w:sz w:val="40"/>
          <w:szCs w:val="40"/>
          <w:rtl/>
        </w:rPr>
        <w:t>المطلب الأول</w:t>
      </w:r>
    </w:p>
    <w:p w:rsidR="00B73679" w:rsidRPr="00B73679" w:rsidRDefault="00B73679" w:rsidP="00B73679">
      <w:pPr>
        <w:keepNext/>
        <w:spacing w:after="0" w:line="240" w:lineRule="auto"/>
        <w:jc w:val="center"/>
        <w:outlineLvl w:val="2"/>
        <w:rPr>
          <w:rFonts w:ascii="Times New Roman" w:eastAsia="Times New Roman" w:hAnsi="Times New Roman" w:cs="PT Bold Heading"/>
          <w:b/>
          <w:bCs/>
          <w:sz w:val="40"/>
          <w:szCs w:val="40"/>
          <w:rtl/>
        </w:rPr>
      </w:pPr>
      <w:r w:rsidRPr="00B73679">
        <w:rPr>
          <w:rFonts w:ascii="Times New Roman" w:eastAsia="Times New Roman" w:hAnsi="Times New Roman" w:cs="PT Bold Heading"/>
          <w:b/>
          <w:bCs/>
          <w:sz w:val="40"/>
          <w:szCs w:val="40"/>
          <w:rtl/>
        </w:rPr>
        <w:t>التكليف بالحضور</w:t>
      </w:r>
    </w:p>
    <w:p w:rsidR="00B73679" w:rsidRPr="00B73679" w:rsidRDefault="00B73679" w:rsidP="00B73679">
      <w:pPr>
        <w:keepNext/>
        <w:spacing w:after="0" w:line="240" w:lineRule="auto"/>
        <w:jc w:val="center"/>
        <w:outlineLvl w:val="2"/>
        <w:rPr>
          <w:rFonts w:ascii="Times New Roman" w:eastAsia="Times New Roman" w:hAnsi="Times New Roman" w:cs="PT Bold Heading"/>
          <w:b/>
          <w:bCs/>
          <w:sz w:val="40"/>
          <w:szCs w:val="40"/>
          <w:rtl/>
        </w:rPr>
      </w:pPr>
    </w:p>
    <w:p w:rsidR="00B73679" w:rsidRPr="00B73679" w:rsidRDefault="00B73679" w:rsidP="00B73679">
      <w:pPr>
        <w:keepNext/>
        <w:spacing w:after="0" w:line="240" w:lineRule="auto"/>
        <w:jc w:val="both"/>
        <w:outlineLvl w:val="2"/>
        <w:rPr>
          <w:rFonts w:asciiTheme="minorBidi" w:eastAsia="Times New Roman" w:hAnsiTheme="minorBidi"/>
          <w:sz w:val="28"/>
          <w:szCs w:val="28"/>
          <w:rtl/>
        </w:rPr>
      </w:pPr>
      <w:r w:rsidRPr="00B73679">
        <w:rPr>
          <w:rFonts w:asciiTheme="minorBidi" w:eastAsia="Times New Roman" w:hAnsiTheme="minorBidi"/>
          <w:sz w:val="28"/>
          <w:szCs w:val="28"/>
          <w:rtl/>
        </w:rPr>
        <w:t>وهو من الاجراءات التي تلجأ اليها السلطات التحقيقية كثيراً،</w:t>
      </w:r>
      <w:r w:rsidRPr="00B73679">
        <w:rPr>
          <w:rFonts w:asciiTheme="minorBidi" w:eastAsia="Times New Roman" w:hAnsiTheme="minorBidi" w:hint="cs"/>
          <w:sz w:val="28"/>
          <w:szCs w:val="28"/>
          <w:rtl/>
        </w:rPr>
        <w:t xml:space="preserve"> </w:t>
      </w:r>
      <w:r w:rsidRPr="00B73679">
        <w:rPr>
          <w:rFonts w:asciiTheme="minorBidi" w:eastAsia="Times New Roman" w:hAnsiTheme="minorBidi"/>
          <w:sz w:val="28"/>
          <w:szCs w:val="28"/>
          <w:rtl/>
        </w:rPr>
        <w:t>وفقاً للسلطة التقديرية لها في ظل الضوابط القانونية الواردة في قانون اصول المحاكمات الجزائية،</w:t>
      </w:r>
      <w:r w:rsidRPr="00B73679">
        <w:rPr>
          <w:rFonts w:asciiTheme="minorBidi" w:eastAsia="Times New Roman" w:hAnsiTheme="minorBidi" w:hint="cs"/>
          <w:sz w:val="28"/>
          <w:szCs w:val="28"/>
          <w:rtl/>
        </w:rPr>
        <w:t xml:space="preserve"> </w:t>
      </w:r>
      <w:r w:rsidRPr="00B73679">
        <w:rPr>
          <w:rFonts w:asciiTheme="minorBidi" w:eastAsia="Times New Roman" w:hAnsiTheme="minorBidi"/>
          <w:sz w:val="28"/>
          <w:szCs w:val="28"/>
          <w:rtl/>
        </w:rPr>
        <w:t>لاسيما في الجرائم البسيطة وغير الخطرة،</w:t>
      </w:r>
      <w:r w:rsidRPr="00B73679">
        <w:rPr>
          <w:rFonts w:asciiTheme="minorBidi" w:eastAsia="Times New Roman" w:hAnsiTheme="minorBidi" w:hint="cs"/>
          <w:sz w:val="28"/>
          <w:szCs w:val="28"/>
          <w:rtl/>
        </w:rPr>
        <w:t xml:space="preserve"> </w:t>
      </w:r>
      <w:r w:rsidRPr="00B73679">
        <w:rPr>
          <w:rFonts w:asciiTheme="minorBidi" w:eastAsia="Times New Roman" w:hAnsiTheme="minorBidi"/>
          <w:sz w:val="28"/>
          <w:szCs w:val="28"/>
          <w:rtl/>
        </w:rPr>
        <w:t>والتي لا</w:t>
      </w:r>
      <w:r w:rsidRPr="00B73679">
        <w:rPr>
          <w:rFonts w:asciiTheme="minorBidi" w:eastAsia="Times New Roman" w:hAnsiTheme="minorBidi" w:hint="cs"/>
          <w:sz w:val="28"/>
          <w:szCs w:val="28"/>
          <w:rtl/>
        </w:rPr>
        <w:t xml:space="preserve"> </w:t>
      </w:r>
      <w:r w:rsidRPr="00B73679">
        <w:rPr>
          <w:rFonts w:asciiTheme="minorBidi" w:eastAsia="Times New Roman" w:hAnsiTheme="minorBidi"/>
          <w:sz w:val="28"/>
          <w:szCs w:val="28"/>
          <w:rtl/>
        </w:rPr>
        <w:t>يخشى فيها من هروب المتهم او تأثيره على سير التحقيق أو اطراف الدعوى الجزائية.</w:t>
      </w:r>
    </w:p>
    <w:p w:rsidR="00B73679" w:rsidRPr="00B73679" w:rsidRDefault="00B73679" w:rsidP="00B73679">
      <w:pPr>
        <w:keepNext/>
        <w:spacing w:after="0" w:line="240" w:lineRule="auto"/>
        <w:jc w:val="both"/>
        <w:outlineLvl w:val="2"/>
        <w:rPr>
          <w:rFonts w:asciiTheme="minorBidi" w:eastAsia="Times New Roman" w:hAnsiTheme="minorBidi"/>
          <w:sz w:val="28"/>
          <w:szCs w:val="28"/>
          <w:rtl/>
        </w:rPr>
      </w:pPr>
    </w:p>
    <w:p w:rsidR="00B73679" w:rsidRPr="00B73679" w:rsidRDefault="00B73679" w:rsidP="00B73679">
      <w:pPr>
        <w:spacing w:after="0" w:line="240" w:lineRule="auto"/>
        <w:ind w:firstLine="565"/>
        <w:jc w:val="lowKashida"/>
        <w:rPr>
          <w:rFonts w:ascii="Times New Roman" w:eastAsia="Times New Roman" w:hAnsi="Times New Roman" w:cs="Simplified Arabic"/>
          <w:sz w:val="20"/>
          <w:szCs w:val="28"/>
          <w:rtl/>
        </w:rPr>
      </w:pPr>
      <w:r w:rsidRPr="00B73679">
        <w:rPr>
          <w:rFonts w:asciiTheme="minorBidi" w:eastAsia="Times New Roman" w:hAnsiTheme="minorBidi" w:hint="cs"/>
          <w:sz w:val="20"/>
          <w:szCs w:val="28"/>
          <w:rtl/>
        </w:rPr>
        <w:t>و</w:t>
      </w:r>
      <w:r w:rsidRPr="00B73679">
        <w:rPr>
          <w:rFonts w:asciiTheme="minorBidi" w:eastAsia="Times New Roman" w:hAnsiTheme="minorBidi"/>
          <w:sz w:val="20"/>
          <w:szCs w:val="28"/>
          <w:rtl/>
        </w:rPr>
        <w:t xml:space="preserve">يتمتع المتهم اثناء التكليف بالحضور بضمانات قانونية تحول دون المساس بحقوقه وحرياته، ومن أجل الإحاطة </w:t>
      </w:r>
      <w:r w:rsidRPr="00B73679">
        <w:rPr>
          <w:rFonts w:asciiTheme="minorBidi" w:eastAsia="Times New Roman" w:hAnsiTheme="minorBidi" w:hint="cs"/>
          <w:sz w:val="20"/>
          <w:szCs w:val="28"/>
          <w:rtl/>
        </w:rPr>
        <w:t>بهذا الاجراء</w:t>
      </w:r>
      <w:r w:rsidRPr="00B73679">
        <w:rPr>
          <w:rFonts w:asciiTheme="minorBidi" w:eastAsia="Times New Roman" w:hAnsiTheme="minorBidi"/>
          <w:sz w:val="20"/>
          <w:szCs w:val="28"/>
          <w:rtl/>
        </w:rPr>
        <w:t xml:space="preserve"> لابد من معرفة المقصود ب</w:t>
      </w:r>
      <w:r w:rsidRPr="00B73679">
        <w:rPr>
          <w:rFonts w:asciiTheme="minorBidi" w:eastAsia="Times New Roman" w:hAnsiTheme="minorBidi" w:hint="cs"/>
          <w:sz w:val="20"/>
          <w:szCs w:val="28"/>
          <w:rtl/>
        </w:rPr>
        <w:t>ه</w:t>
      </w:r>
      <w:r w:rsidRPr="00B73679">
        <w:rPr>
          <w:rFonts w:asciiTheme="minorBidi" w:eastAsia="Times New Roman" w:hAnsiTheme="minorBidi"/>
          <w:sz w:val="20"/>
          <w:szCs w:val="28"/>
          <w:rtl/>
        </w:rPr>
        <w:t xml:space="preserve">؟ وما هي الاحوال التي يجوز فيها إصدار ورقة التكليف بالحضور ؟ ثم لابد من معرفة الاثار المترتبة على امتناع المتهم عن الحضور بعد اصدار ورقة التكليف بحضوره </w:t>
      </w:r>
      <w:r w:rsidRPr="00B73679">
        <w:rPr>
          <w:rFonts w:ascii="Times New Roman" w:eastAsia="Times New Roman" w:hAnsi="Times New Roman" w:cs="Simplified Arabic"/>
          <w:sz w:val="20"/>
          <w:szCs w:val="28"/>
          <w:rtl/>
        </w:rPr>
        <w:t>؟</w:t>
      </w:r>
    </w:p>
    <w:p w:rsidR="00B73679" w:rsidRPr="00B73679" w:rsidRDefault="00B73679" w:rsidP="00B73679">
      <w:pPr>
        <w:spacing w:after="0" w:line="240" w:lineRule="auto"/>
        <w:ind w:firstLine="565"/>
        <w:jc w:val="lowKashida"/>
        <w:rPr>
          <w:rFonts w:ascii="Times New Roman" w:eastAsia="Times New Roman" w:hAnsi="Times New Roman" w:cs="Simplified Arabic"/>
          <w:sz w:val="20"/>
          <w:szCs w:val="28"/>
          <w:rtl/>
        </w:rPr>
      </w:pPr>
    </w:p>
    <w:p w:rsidR="00B73679" w:rsidRPr="00B73679" w:rsidRDefault="00B73679" w:rsidP="00B73679">
      <w:pPr>
        <w:spacing w:after="0" w:line="240" w:lineRule="auto"/>
        <w:ind w:left="565" w:hanging="565"/>
        <w:jc w:val="center"/>
        <w:rPr>
          <w:rFonts w:ascii="Times New Roman" w:eastAsia="Times New Roman" w:hAnsi="Times New Roman" w:cs="PT Bold Heading"/>
          <w:sz w:val="36"/>
          <w:szCs w:val="36"/>
          <w:rtl/>
        </w:rPr>
      </w:pPr>
      <w:r w:rsidRPr="00B73679">
        <w:rPr>
          <w:rFonts w:ascii="Times New Roman" w:eastAsia="Times New Roman" w:hAnsi="Times New Roman" w:cs="PT Bold Heading" w:hint="cs"/>
          <w:sz w:val="36"/>
          <w:szCs w:val="36"/>
          <w:rtl/>
        </w:rPr>
        <w:lastRenderedPageBreak/>
        <w:t>الفرع الاول</w:t>
      </w:r>
    </w:p>
    <w:p w:rsidR="00B73679" w:rsidRPr="00B73679" w:rsidRDefault="00B73679" w:rsidP="00B73679">
      <w:pPr>
        <w:spacing w:after="0" w:line="240" w:lineRule="auto"/>
        <w:ind w:left="565" w:hanging="565"/>
        <w:jc w:val="center"/>
        <w:rPr>
          <w:rFonts w:ascii="Times New Roman" w:eastAsia="Times New Roman" w:hAnsi="Times New Roman" w:cs="PT Bold Heading"/>
          <w:sz w:val="36"/>
          <w:szCs w:val="36"/>
          <w:rtl/>
        </w:rPr>
      </w:pPr>
      <w:r w:rsidRPr="00B73679">
        <w:rPr>
          <w:rFonts w:ascii="Times New Roman" w:eastAsia="Times New Roman" w:hAnsi="Times New Roman" w:cs="PT Bold Heading"/>
          <w:sz w:val="36"/>
          <w:szCs w:val="36"/>
          <w:rtl/>
        </w:rPr>
        <w:t>تعريف التكليف بالحضور وحالاته</w:t>
      </w:r>
    </w:p>
    <w:p w:rsidR="00B73679" w:rsidRPr="00B73679" w:rsidRDefault="00B73679" w:rsidP="00B73679">
      <w:pPr>
        <w:spacing w:after="0" w:line="240" w:lineRule="auto"/>
        <w:ind w:left="565" w:hanging="565"/>
        <w:jc w:val="lowKashida"/>
        <w:rPr>
          <w:rFonts w:ascii="Times New Roman" w:eastAsia="Times New Roman" w:hAnsi="Times New Roman" w:cs="Simple Bold Jut Out"/>
          <w:sz w:val="20"/>
          <w:szCs w:val="28"/>
          <w:rtl/>
        </w:rPr>
      </w:pPr>
    </w:p>
    <w:p w:rsidR="00B73679" w:rsidRPr="00B73679" w:rsidRDefault="00B73679" w:rsidP="00B73679">
      <w:pPr>
        <w:spacing w:after="0" w:line="240" w:lineRule="auto"/>
        <w:ind w:left="565" w:hanging="565"/>
        <w:rPr>
          <w:rFonts w:asciiTheme="minorBidi" w:eastAsia="Times New Roman" w:hAnsiTheme="minorBidi"/>
          <w:sz w:val="28"/>
          <w:szCs w:val="28"/>
          <w:vertAlign w:val="superscript"/>
          <w:rtl/>
        </w:rPr>
      </w:pPr>
      <w:r w:rsidRPr="00B73679">
        <w:rPr>
          <w:rFonts w:asciiTheme="minorBidi" w:eastAsia="Times New Roman" w:hAnsiTheme="minorBidi" w:hint="cs"/>
          <w:sz w:val="28"/>
          <w:szCs w:val="28"/>
          <w:rtl/>
        </w:rPr>
        <w:t xml:space="preserve"> </w:t>
      </w:r>
      <w:r w:rsidRPr="00B73679">
        <w:rPr>
          <w:rFonts w:asciiTheme="minorBidi" w:eastAsia="Times New Roman" w:hAnsiTheme="minorBidi"/>
          <w:sz w:val="28"/>
          <w:szCs w:val="28"/>
          <w:rtl/>
        </w:rPr>
        <w:t xml:space="preserve">يعرف التكليف بالحضور او الاستقدام بانه دعوة المتهم للحضور امام سلطة التحقيق في زمان ومكان معينين في الطلب ويكون تنفيذه متروك لإرادة المتهم </w:t>
      </w:r>
      <w:r w:rsidRPr="00B73679">
        <w:rPr>
          <w:rFonts w:asciiTheme="minorBidi" w:eastAsia="Times New Roman" w:hAnsiTheme="minorBidi" w:hint="cs"/>
          <w:sz w:val="28"/>
          <w:szCs w:val="28"/>
          <w:vertAlign w:val="superscript"/>
          <w:rtl/>
        </w:rPr>
        <w:t>.</w:t>
      </w:r>
    </w:p>
    <w:p w:rsidR="00B73679" w:rsidRPr="00B73679" w:rsidRDefault="00B73679" w:rsidP="00B73679">
      <w:pPr>
        <w:spacing w:after="0" w:line="240" w:lineRule="auto"/>
        <w:ind w:left="565" w:hanging="565"/>
        <w:rPr>
          <w:rFonts w:asciiTheme="minorBidi" w:eastAsia="Times New Roman" w:hAnsiTheme="minorBidi"/>
          <w:sz w:val="28"/>
          <w:szCs w:val="28"/>
          <w:rtl/>
        </w:rPr>
      </w:pPr>
      <w:r w:rsidRPr="00B73679">
        <w:rPr>
          <w:rFonts w:asciiTheme="minorBidi" w:eastAsia="Times New Roman" w:hAnsiTheme="minorBidi"/>
          <w:sz w:val="28"/>
          <w:szCs w:val="28"/>
          <w:rtl/>
        </w:rPr>
        <w:t>كما عرف بانه " إجراء من إجراءات التحقيق يأمر بمقتضاه القائم بالتحقيق المتهم بالحضور امامه في زمان ومكان معينين ولأمور تتعلق بالتحقيق ".</w:t>
      </w:r>
    </w:p>
    <w:p w:rsidR="00B73679" w:rsidRPr="00B73679" w:rsidRDefault="00B73679" w:rsidP="00B73679">
      <w:pPr>
        <w:spacing w:after="0" w:line="240" w:lineRule="auto"/>
        <w:ind w:firstLine="565"/>
        <w:jc w:val="lowKashida"/>
        <w:rPr>
          <w:rFonts w:asciiTheme="minorBidi" w:eastAsia="Times New Roman" w:hAnsiTheme="minorBidi"/>
          <w:sz w:val="28"/>
          <w:szCs w:val="28"/>
          <w:rtl/>
        </w:rPr>
      </w:pPr>
      <w:r w:rsidRPr="00B73679">
        <w:rPr>
          <w:rFonts w:asciiTheme="minorBidi" w:eastAsia="Times New Roman" w:hAnsiTheme="minorBidi"/>
          <w:sz w:val="28"/>
          <w:szCs w:val="28"/>
          <w:rtl/>
        </w:rPr>
        <w:t xml:space="preserve">ونرى ان المشرع العراقي عندما ادرج التكليف بالحضور ضمن طرق الاجبار على الحضور لم يقصد بذلك اجازة استخدام القوة المادية ( الإجبار المادي ) ضد المتهم الممتنع عن الحضور ، لان تنفيذ ورقة التكليف بالحضور امر متروك </w:t>
      </w:r>
      <w:r w:rsidRPr="00B73679">
        <w:rPr>
          <w:rFonts w:asciiTheme="minorBidi" w:eastAsia="Times New Roman" w:hAnsiTheme="minorBidi" w:hint="cs"/>
          <w:sz w:val="28"/>
          <w:szCs w:val="28"/>
          <w:rtl/>
        </w:rPr>
        <w:t>لإرادة</w:t>
      </w:r>
      <w:r w:rsidRPr="00B73679">
        <w:rPr>
          <w:rFonts w:asciiTheme="minorBidi" w:eastAsia="Times New Roman" w:hAnsiTheme="minorBidi"/>
          <w:sz w:val="28"/>
          <w:szCs w:val="28"/>
          <w:rtl/>
        </w:rPr>
        <w:t xml:space="preserve"> المتهم ولا يجوز استخدام القوة معه عند امتناعه عن الحضور بمقتضاها ولا يجوز إلزامه بالحضور جبراً عليه . فلا يوجد اجبار مادي هنا ، وانما يقع الاجبار عند امتناع المتهم عن الحضور وبناءً على ورقة التكليف بالحضور ، إذ تصدر السلطة المختصة امرا بالقبض او </w:t>
      </w:r>
      <w:r w:rsidRPr="00B73679">
        <w:rPr>
          <w:rFonts w:asciiTheme="minorBidi" w:eastAsia="Times New Roman" w:hAnsiTheme="minorBidi" w:hint="cs"/>
          <w:sz w:val="28"/>
          <w:szCs w:val="28"/>
          <w:rtl/>
        </w:rPr>
        <w:t>بالإحضار</w:t>
      </w:r>
      <w:r w:rsidRPr="00B73679">
        <w:rPr>
          <w:rFonts w:asciiTheme="minorBidi" w:eastAsia="Times New Roman" w:hAnsiTheme="minorBidi"/>
          <w:sz w:val="28"/>
          <w:szCs w:val="28"/>
          <w:rtl/>
        </w:rPr>
        <w:t xml:space="preserve"> وهذا يعني انتهاء مفعول ورقة التكليف بالحضور بمجرد صدور مذكرة القبض وان الاجبار الذي قصده المشرع هو اجبار قانوني وليس مادياً .</w:t>
      </w:r>
    </w:p>
    <w:p w:rsidR="00B73679" w:rsidRPr="00B73679" w:rsidRDefault="00B73679" w:rsidP="00B73679">
      <w:pPr>
        <w:spacing w:after="0" w:line="240" w:lineRule="auto"/>
        <w:ind w:firstLine="565"/>
        <w:jc w:val="lowKashida"/>
        <w:rPr>
          <w:rFonts w:asciiTheme="minorBidi" w:eastAsia="Times New Roman" w:hAnsiTheme="minorBidi"/>
          <w:sz w:val="28"/>
          <w:szCs w:val="28"/>
          <w:rtl/>
        </w:rPr>
      </w:pPr>
      <w:r w:rsidRPr="00B73679">
        <w:rPr>
          <w:rFonts w:asciiTheme="minorBidi" w:eastAsia="Times New Roman" w:hAnsiTheme="minorBidi"/>
          <w:sz w:val="28"/>
          <w:szCs w:val="28"/>
          <w:rtl/>
        </w:rPr>
        <w:t>فالمتهم يتمتع بضمانة مهمة اثناء تنفيذ ورقة التكليف بالحضور وهي عدم جواز المساس بسلامة جسمه بأية وسيلة مادية أو معنوية فاذا ما وقع اعتداء من الشخص القائم بالتكليف بالحضور يعد متجاوزا لحدود سلطته.</w:t>
      </w:r>
    </w:p>
    <w:p w:rsidR="00B73679" w:rsidRPr="00B73679" w:rsidRDefault="00B73679" w:rsidP="00B73679">
      <w:pPr>
        <w:spacing w:after="0" w:line="240" w:lineRule="auto"/>
        <w:ind w:firstLine="565"/>
        <w:jc w:val="lowKashida"/>
        <w:rPr>
          <w:rFonts w:asciiTheme="minorBidi" w:eastAsia="Times New Roman" w:hAnsiTheme="minorBidi"/>
          <w:sz w:val="28"/>
          <w:szCs w:val="28"/>
          <w:rtl/>
        </w:rPr>
      </w:pPr>
    </w:p>
    <w:p w:rsidR="00B73679" w:rsidRPr="00B73679" w:rsidRDefault="00B73679" w:rsidP="00B73679">
      <w:pPr>
        <w:spacing w:after="0" w:line="240" w:lineRule="auto"/>
        <w:ind w:firstLine="565"/>
        <w:jc w:val="lowKashida"/>
        <w:rPr>
          <w:rFonts w:asciiTheme="minorBidi" w:eastAsia="Times New Roman" w:hAnsiTheme="minorBidi"/>
          <w:b/>
          <w:bCs/>
          <w:sz w:val="28"/>
          <w:szCs w:val="28"/>
          <w:rtl/>
        </w:rPr>
      </w:pPr>
      <w:r w:rsidRPr="00B73679">
        <w:rPr>
          <w:rFonts w:asciiTheme="minorBidi" w:eastAsia="Times New Roman" w:hAnsiTheme="minorBidi"/>
          <w:b/>
          <w:bCs/>
          <w:sz w:val="28"/>
          <w:szCs w:val="28"/>
          <w:rtl/>
        </w:rPr>
        <w:t xml:space="preserve">والسؤال الذي يمكن ان يطرح هنا ، هو هل يشترط في التكليف بالحضور ان يكون مكتوبا ام يجوز ان يكون مشافهة ؟ </w:t>
      </w:r>
    </w:p>
    <w:p w:rsidR="00B73679" w:rsidRPr="00B73679" w:rsidRDefault="00B73679" w:rsidP="00B73679">
      <w:pPr>
        <w:spacing w:after="0" w:line="240" w:lineRule="auto"/>
        <w:ind w:firstLine="565"/>
        <w:jc w:val="lowKashida"/>
        <w:rPr>
          <w:rFonts w:asciiTheme="minorBidi" w:eastAsia="Times New Roman" w:hAnsiTheme="minorBidi"/>
          <w:b/>
          <w:bCs/>
          <w:sz w:val="28"/>
          <w:szCs w:val="28"/>
          <w:rtl/>
        </w:rPr>
      </w:pPr>
    </w:p>
    <w:p w:rsidR="00B73679" w:rsidRPr="00B73679" w:rsidRDefault="00B73679" w:rsidP="00B73679">
      <w:pPr>
        <w:spacing w:after="0" w:line="240" w:lineRule="auto"/>
        <w:ind w:firstLine="565"/>
        <w:jc w:val="lowKashida"/>
        <w:rPr>
          <w:rFonts w:asciiTheme="minorBidi" w:eastAsia="Times New Roman" w:hAnsiTheme="minorBidi"/>
          <w:sz w:val="28"/>
          <w:szCs w:val="28"/>
          <w:rtl/>
        </w:rPr>
      </w:pPr>
      <w:r w:rsidRPr="00B73679">
        <w:rPr>
          <w:rFonts w:asciiTheme="minorBidi" w:eastAsia="Times New Roman" w:hAnsiTheme="minorBidi"/>
          <w:sz w:val="28"/>
          <w:szCs w:val="28"/>
          <w:rtl/>
        </w:rPr>
        <w:t xml:space="preserve">لقد انقسمت التشريعات بصدد الاجابة عن هذا التساؤل إلى اتجاهين : </w:t>
      </w:r>
      <w:r w:rsidRPr="00B73679">
        <w:rPr>
          <w:rFonts w:asciiTheme="minorBidi" w:eastAsia="Times New Roman" w:hAnsiTheme="minorBidi" w:hint="cs"/>
          <w:sz w:val="28"/>
          <w:szCs w:val="28"/>
          <w:rtl/>
        </w:rPr>
        <w:t>-</w:t>
      </w:r>
    </w:p>
    <w:p w:rsidR="00B73679" w:rsidRPr="00B73679" w:rsidRDefault="00B73679" w:rsidP="00B73679">
      <w:pPr>
        <w:spacing w:after="0" w:line="240" w:lineRule="auto"/>
        <w:ind w:firstLine="565"/>
        <w:jc w:val="lowKashida"/>
        <w:rPr>
          <w:rFonts w:asciiTheme="minorBidi" w:eastAsia="Times New Roman" w:hAnsiTheme="minorBidi"/>
          <w:sz w:val="28"/>
          <w:szCs w:val="28"/>
          <w:rtl/>
        </w:rPr>
      </w:pPr>
    </w:p>
    <w:p w:rsidR="00B73679" w:rsidRPr="00B73679" w:rsidRDefault="00B73679" w:rsidP="00B73679">
      <w:pPr>
        <w:spacing w:after="0" w:line="240" w:lineRule="auto"/>
        <w:ind w:firstLine="565"/>
        <w:jc w:val="lowKashida"/>
        <w:rPr>
          <w:rFonts w:asciiTheme="minorBidi" w:eastAsia="Times New Roman" w:hAnsiTheme="minorBidi"/>
          <w:sz w:val="28"/>
          <w:szCs w:val="28"/>
          <w:rtl/>
        </w:rPr>
      </w:pPr>
      <w:r w:rsidRPr="00B73679">
        <w:rPr>
          <w:rFonts w:asciiTheme="minorBidi" w:eastAsia="Times New Roman" w:hAnsiTheme="minorBidi" w:hint="cs"/>
          <w:b/>
          <w:bCs/>
          <w:sz w:val="28"/>
          <w:szCs w:val="28"/>
          <w:rtl/>
        </w:rPr>
        <w:t xml:space="preserve">الاتجاه </w:t>
      </w:r>
      <w:r w:rsidRPr="00B73679">
        <w:rPr>
          <w:rFonts w:asciiTheme="minorBidi" w:eastAsia="Times New Roman" w:hAnsiTheme="minorBidi"/>
          <w:b/>
          <w:bCs/>
          <w:sz w:val="28"/>
          <w:szCs w:val="28"/>
          <w:rtl/>
        </w:rPr>
        <w:t xml:space="preserve">الأول </w:t>
      </w:r>
      <w:r w:rsidRPr="00B73679">
        <w:rPr>
          <w:rFonts w:asciiTheme="minorBidi" w:eastAsia="Times New Roman" w:hAnsiTheme="minorBidi"/>
          <w:sz w:val="28"/>
          <w:szCs w:val="28"/>
          <w:rtl/>
        </w:rPr>
        <w:t xml:space="preserve">- لا يشترط في التكليف بالحضور ان يكون مكتوبا </w:t>
      </w:r>
      <w:r w:rsidRPr="00B73679">
        <w:rPr>
          <w:rFonts w:asciiTheme="minorBidi" w:eastAsia="Times New Roman" w:hAnsiTheme="minorBidi" w:hint="cs"/>
          <w:sz w:val="28"/>
          <w:szCs w:val="28"/>
          <w:rtl/>
        </w:rPr>
        <w:t>،</w:t>
      </w:r>
      <w:r w:rsidRPr="00B73679">
        <w:rPr>
          <w:rFonts w:asciiTheme="minorBidi" w:eastAsia="Times New Roman" w:hAnsiTheme="minorBidi"/>
          <w:sz w:val="28"/>
          <w:szCs w:val="28"/>
          <w:rtl/>
        </w:rPr>
        <w:t>وانما يمكن تبليغ المتهم بورقة التكليف بالحضور مشافهة او عن طريق الهاتف ، هذا هو اتجاه المشرع الروسي في قانون الإجراءات الجنائية.</w:t>
      </w:r>
    </w:p>
    <w:p w:rsidR="00B73679" w:rsidRPr="00B73679" w:rsidRDefault="00B73679" w:rsidP="00B73679">
      <w:pPr>
        <w:spacing w:after="0" w:line="240" w:lineRule="auto"/>
        <w:ind w:firstLine="565"/>
        <w:jc w:val="lowKashida"/>
        <w:rPr>
          <w:rFonts w:asciiTheme="minorBidi" w:eastAsia="Times New Roman" w:hAnsiTheme="minorBidi"/>
          <w:sz w:val="28"/>
          <w:szCs w:val="28"/>
          <w:rtl/>
        </w:rPr>
      </w:pPr>
    </w:p>
    <w:p w:rsidR="00B73679" w:rsidRPr="00B73679" w:rsidRDefault="00B73679" w:rsidP="00B73679">
      <w:pPr>
        <w:spacing w:after="0" w:line="240" w:lineRule="auto"/>
        <w:ind w:firstLine="565"/>
        <w:jc w:val="lowKashida"/>
        <w:rPr>
          <w:rFonts w:asciiTheme="minorBidi" w:eastAsia="Times New Roman" w:hAnsiTheme="minorBidi"/>
          <w:sz w:val="28"/>
          <w:szCs w:val="28"/>
          <w:rtl/>
        </w:rPr>
      </w:pPr>
      <w:r w:rsidRPr="00B73679">
        <w:rPr>
          <w:rFonts w:asciiTheme="minorBidi" w:eastAsia="Times New Roman" w:hAnsiTheme="minorBidi"/>
          <w:sz w:val="28"/>
          <w:szCs w:val="28"/>
          <w:rtl/>
        </w:rPr>
        <w:t xml:space="preserve">أما </w:t>
      </w:r>
      <w:r w:rsidRPr="00B73679">
        <w:rPr>
          <w:rFonts w:asciiTheme="minorBidi" w:eastAsia="Times New Roman" w:hAnsiTheme="minorBidi"/>
          <w:b/>
          <w:bCs/>
          <w:sz w:val="28"/>
          <w:szCs w:val="28"/>
          <w:rtl/>
        </w:rPr>
        <w:t>الاتجاه الثاني</w:t>
      </w:r>
      <w:r w:rsidRPr="00B73679">
        <w:rPr>
          <w:rFonts w:asciiTheme="minorBidi" w:eastAsia="Times New Roman" w:hAnsiTheme="minorBidi"/>
          <w:sz w:val="28"/>
          <w:szCs w:val="28"/>
          <w:rtl/>
        </w:rPr>
        <w:t xml:space="preserve"> - فيرى ان ورقة التكليف بالحضور لا يمكن تبليغها مشافهة بل يجب ان تكون مكتوبة ، وهذا هو اتجاه المشرع العراقي</w:t>
      </w:r>
      <w:r w:rsidRPr="00B73679">
        <w:rPr>
          <w:rFonts w:asciiTheme="minorBidi" w:eastAsia="Times New Roman" w:hAnsiTheme="minorBidi" w:hint="cs"/>
          <w:sz w:val="28"/>
          <w:szCs w:val="28"/>
          <w:rtl/>
        </w:rPr>
        <w:t>،</w:t>
      </w:r>
      <w:r w:rsidRPr="00B73679">
        <w:rPr>
          <w:rFonts w:asciiTheme="minorBidi" w:eastAsia="Times New Roman" w:hAnsiTheme="minorBidi"/>
          <w:sz w:val="28"/>
          <w:szCs w:val="28"/>
          <w:rtl/>
        </w:rPr>
        <w:t xml:space="preserve"> إذ اشترطت الما</w:t>
      </w:r>
      <w:r w:rsidRPr="00B73679">
        <w:rPr>
          <w:rFonts w:asciiTheme="minorBidi" w:eastAsia="Times New Roman" w:hAnsiTheme="minorBidi" w:hint="cs"/>
          <w:sz w:val="28"/>
          <w:szCs w:val="28"/>
          <w:rtl/>
        </w:rPr>
        <w:t>د</w:t>
      </w:r>
      <w:r w:rsidRPr="00B73679">
        <w:rPr>
          <w:rFonts w:asciiTheme="minorBidi" w:eastAsia="Times New Roman" w:hAnsiTheme="minorBidi"/>
          <w:sz w:val="28"/>
          <w:szCs w:val="28"/>
          <w:rtl/>
        </w:rPr>
        <w:t xml:space="preserve">ة </w:t>
      </w:r>
      <w:r w:rsidRPr="00B73679">
        <w:rPr>
          <w:rFonts w:asciiTheme="minorBidi" w:eastAsia="Times New Roman" w:hAnsiTheme="minorBidi" w:hint="cs"/>
          <w:sz w:val="28"/>
          <w:szCs w:val="28"/>
          <w:rtl/>
        </w:rPr>
        <w:t>(</w:t>
      </w:r>
      <w:r w:rsidRPr="00B73679">
        <w:rPr>
          <w:rFonts w:asciiTheme="minorBidi" w:eastAsia="Times New Roman" w:hAnsiTheme="minorBidi"/>
          <w:sz w:val="28"/>
          <w:szCs w:val="28"/>
          <w:rtl/>
        </w:rPr>
        <w:t xml:space="preserve">87 </w:t>
      </w:r>
      <w:r w:rsidRPr="00B73679">
        <w:rPr>
          <w:rFonts w:asciiTheme="minorBidi" w:eastAsia="Times New Roman" w:hAnsiTheme="minorBidi" w:hint="cs"/>
          <w:sz w:val="28"/>
          <w:szCs w:val="28"/>
          <w:rtl/>
        </w:rPr>
        <w:t>)</w:t>
      </w:r>
      <w:r w:rsidRPr="00B73679">
        <w:rPr>
          <w:rFonts w:asciiTheme="minorBidi" w:eastAsia="Times New Roman" w:hAnsiTheme="minorBidi"/>
          <w:sz w:val="28"/>
          <w:szCs w:val="28"/>
          <w:rtl/>
        </w:rPr>
        <w:t xml:space="preserve"> من قانون أصول المحاكمات الجزائية في ورقة التكليف بالحضور ان تحرر بنسختين . وهذا ما سارت عليه اغلب التشريعات العربية كالتشريع الأردني والتونسي والمصري والكويتي.</w:t>
      </w:r>
    </w:p>
    <w:p w:rsidR="00B73679" w:rsidRPr="00B73679" w:rsidRDefault="00B73679" w:rsidP="00B73679">
      <w:pPr>
        <w:spacing w:after="0" w:line="240" w:lineRule="auto"/>
        <w:ind w:firstLine="565"/>
        <w:jc w:val="lowKashida"/>
        <w:rPr>
          <w:rFonts w:asciiTheme="minorBidi" w:eastAsia="Times New Roman" w:hAnsiTheme="minorBidi"/>
          <w:sz w:val="28"/>
          <w:szCs w:val="28"/>
          <w:rtl/>
        </w:rPr>
      </w:pPr>
      <w:r w:rsidRPr="00B73679">
        <w:rPr>
          <w:rFonts w:asciiTheme="minorBidi" w:eastAsia="Times New Roman" w:hAnsiTheme="minorBidi"/>
          <w:sz w:val="28"/>
          <w:szCs w:val="28"/>
          <w:rtl/>
        </w:rPr>
        <w:t>والذي نراه ان الاتجاه الثاني هو الراجح وذلك لسهولة اثبات القيام بالتبليغ .</w:t>
      </w:r>
    </w:p>
    <w:p w:rsidR="00B73679" w:rsidRPr="00B73679" w:rsidRDefault="00B73679" w:rsidP="00B73679">
      <w:pPr>
        <w:spacing w:after="0" w:line="240" w:lineRule="auto"/>
        <w:ind w:firstLine="565"/>
        <w:jc w:val="lowKashida"/>
        <w:rPr>
          <w:rFonts w:asciiTheme="minorBidi" w:eastAsia="Times New Roman" w:hAnsiTheme="minorBidi"/>
          <w:sz w:val="28"/>
          <w:szCs w:val="28"/>
          <w:rtl/>
        </w:rPr>
      </w:pPr>
    </w:p>
    <w:p w:rsidR="00B73679" w:rsidRPr="00B73679" w:rsidRDefault="00B73679" w:rsidP="00B73679">
      <w:pPr>
        <w:spacing w:after="0" w:line="240" w:lineRule="auto"/>
        <w:ind w:firstLine="565"/>
        <w:jc w:val="both"/>
        <w:rPr>
          <w:rFonts w:asciiTheme="minorBidi" w:eastAsia="Times New Roman" w:hAnsiTheme="minorBidi"/>
          <w:sz w:val="28"/>
          <w:szCs w:val="28"/>
          <w:rtl/>
        </w:rPr>
      </w:pPr>
      <w:r w:rsidRPr="00B73679">
        <w:rPr>
          <w:rFonts w:asciiTheme="minorBidi" w:eastAsia="Times New Roman" w:hAnsiTheme="minorBidi"/>
          <w:sz w:val="28"/>
          <w:szCs w:val="28"/>
          <w:rtl/>
        </w:rPr>
        <w:t xml:space="preserve">مما تقدم يمكننا تعريف التكليف بالحضور بالنسبة للمتهم بانه </w:t>
      </w:r>
      <w:r w:rsidRPr="00B73679">
        <w:rPr>
          <w:rFonts w:asciiTheme="minorBidi" w:eastAsia="Times New Roman" w:hAnsiTheme="minorBidi"/>
          <w:b/>
          <w:bCs/>
          <w:sz w:val="28"/>
          <w:szCs w:val="28"/>
          <w:rtl/>
        </w:rPr>
        <w:t>( دعوة المتهم للحضور من قبل قاضي التحقيق او المحقق او المسؤول في مركز الشرطة او من قبل المحكمة في زمان ومكان معينين ، والغرض اخطاره بالجريمة المتهم بارتكابها او استجوابه عن الوقائع المنسوبة إليه او مواجهته بباقي المتهمين او الشهود ولا يجوز استخدام القوة في سبيل تنفيذها حتى وان امتنع المتهم عن تنفيذها طوعا )</w:t>
      </w:r>
      <w:r w:rsidRPr="00B73679">
        <w:rPr>
          <w:rFonts w:asciiTheme="minorBidi" w:eastAsia="Times New Roman" w:hAnsiTheme="minorBidi"/>
          <w:sz w:val="28"/>
          <w:szCs w:val="28"/>
          <w:rtl/>
        </w:rPr>
        <w:t xml:space="preserve"> أما عن الاحوال التي تصدر فيها ورقة التكليف بالحضور  ، فقد اجاز المشرع العراقي اصدارها في جميع الجرائم ما عدا الجرائم المعاقب عليها </w:t>
      </w:r>
      <w:r w:rsidRPr="00B73679">
        <w:rPr>
          <w:rFonts w:asciiTheme="minorBidi" w:eastAsia="Times New Roman" w:hAnsiTheme="minorBidi" w:hint="cs"/>
          <w:sz w:val="28"/>
          <w:szCs w:val="28"/>
          <w:rtl/>
        </w:rPr>
        <w:t>بالإعدام</w:t>
      </w:r>
      <w:r w:rsidRPr="00B73679">
        <w:rPr>
          <w:rFonts w:asciiTheme="minorBidi" w:eastAsia="Times New Roman" w:hAnsiTheme="minorBidi"/>
          <w:sz w:val="28"/>
          <w:szCs w:val="28"/>
          <w:rtl/>
        </w:rPr>
        <w:t xml:space="preserve"> او السجن المؤبد إذ اوجب اصدار مذكرة القبض على المتهم ابتداءً ، </w:t>
      </w:r>
      <w:r w:rsidRPr="00B73679">
        <w:rPr>
          <w:rFonts w:asciiTheme="minorBidi" w:eastAsia="Times New Roman" w:hAnsiTheme="minorBidi"/>
          <w:sz w:val="28"/>
          <w:szCs w:val="28"/>
          <w:rtl/>
        </w:rPr>
        <w:lastRenderedPageBreak/>
        <w:t xml:space="preserve">وفي الجرائم المعاقب عليها بالحبس مدة تزيد على سنة فيتم احضار المتهم </w:t>
      </w:r>
      <w:r w:rsidRPr="00B73679">
        <w:rPr>
          <w:rFonts w:asciiTheme="minorBidi" w:eastAsia="Times New Roman" w:hAnsiTheme="minorBidi" w:hint="cs"/>
          <w:sz w:val="28"/>
          <w:szCs w:val="28"/>
          <w:rtl/>
        </w:rPr>
        <w:t>بإصدار</w:t>
      </w:r>
      <w:r w:rsidRPr="00B73679">
        <w:rPr>
          <w:rFonts w:asciiTheme="minorBidi" w:eastAsia="Times New Roman" w:hAnsiTheme="minorBidi"/>
          <w:sz w:val="28"/>
          <w:szCs w:val="28"/>
          <w:rtl/>
        </w:rPr>
        <w:t xml:space="preserve"> امر القبض الا إذا استصوب القاضي احضاره بورقة التكليف بالحضور.</w:t>
      </w:r>
    </w:p>
    <w:p w:rsidR="00B73679" w:rsidRPr="00B73679" w:rsidRDefault="00B73679" w:rsidP="00B73679">
      <w:pPr>
        <w:spacing w:after="0" w:line="240" w:lineRule="auto"/>
        <w:ind w:firstLine="565"/>
        <w:jc w:val="both"/>
        <w:rPr>
          <w:rFonts w:asciiTheme="minorBidi" w:eastAsia="Times New Roman" w:hAnsiTheme="minorBidi"/>
          <w:sz w:val="28"/>
          <w:szCs w:val="28"/>
          <w:rtl/>
        </w:rPr>
      </w:pPr>
    </w:p>
    <w:p w:rsidR="00B73679" w:rsidRPr="00B73679" w:rsidRDefault="00B73679" w:rsidP="00B73679">
      <w:pPr>
        <w:spacing w:after="0" w:line="240" w:lineRule="auto"/>
        <w:ind w:firstLine="565"/>
        <w:jc w:val="center"/>
        <w:rPr>
          <w:rFonts w:asciiTheme="minorBidi" w:eastAsia="Times New Roman" w:hAnsiTheme="minorBidi" w:cs="PT Bold Heading"/>
          <w:b/>
          <w:bCs/>
          <w:sz w:val="36"/>
          <w:szCs w:val="36"/>
          <w:rtl/>
        </w:rPr>
      </w:pPr>
      <w:r w:rsidRPr="00B73679">
        <w:rPr>
          <w:rFonts w:asciiTheme="minorBidi" w:eastAsia="Times New Roman" w:hAnsiTheme="minorBidi" w:cs="PT Bold Heading" w:hint="cs"/>
          <w:b/>
          <w:bCs/>
          <w:sz w:val="36"/>
          <w:szCs w:val="36"/>
          <w:rtl/>
        </w:rPr>
        <w:t>الفرع الثاني</w:t>
      </w:r>
    </w:p>
    <w:p w:rsidR="00B73679" w:rsidRPr="00B73679" w:rsidRDefault="00B73679" w:rsidP="00B73679">
      <w:pPr>
        <w:spacing w:after="0" w:line="240" w:lineRule="auto"/>
        <w:ind w:firstLine="565"/>
        <w:jc w:val="center"/>
        <w:rPr>
          <w:rFonts w:asciiTheme="minorBidi" w:eastAsia="Times New Roman" w:hAnsiTheme="minorBidi" w:cs="PT Bold Heading"/>
          <w:b/>
          <w:bCs/>
          <w:sz w:val="36"/>
          <w:szCs w:val="36"/>
          <w:rtl/>
        </w:rPr>
      </w:pPr>
      <w:r w:rsidRPr="00B73679">
        <w:rPr>
          <w:rFonts w:asciiTheme="minorBidi" w:eastAsia="Times New Roman" w:hAnsiTheme="minorBidi" w:cs="PT Bold Heading" w:hint="cs"/>
          <w:b/>
          <w:bCs/>
          <w:sz w:val="36"/>
          <w:szCs w:val="36"/>
          <w:rtl/>
        </w:rPr>
        <w:t>طريقة تنفيذ امر التكليف بالحضور</w:t>
      </w:r>
    </w:p>
    <w:p w:rsidR="00B73679" w:rsidRPr="00B73679" w:rsidRDefault="00B73679" w:rsidP="00B73679">
      <w:pPr>
        <w:spacing w:after="0" w:line="240" w:lineRule="auto"/>
        <w:ind w:left="565" w:hanging="565"/>
        <w:jc w:val="both"/>
        <w:rPr>
          <w:rFonts w:asciiTheme="minorBidi" w:eastAsia="Times New Roman" w:hAnsiTheme="minorBidi"/>
          <w:sz w:val="28"/>
          <w:szCs w:val="28"/>
          <w:rtl/>
        </w:rPr>
      </w:pPr>
      <w:r w:rsidRPr="00B73679">
        <w:rPr>
          <w:rFonts w:asciiTheme="minorBidi" w:eastAsia="Times New Roman" w:hAnsiTheme="minorBidi" w:hint="cs"/>
          <w:sz w:val="28"/>
          <w:szCs w:val="28"/>
          <w:rtl/>
        </w:rPr>
        <w:t>ولا يجوز</w:t>
      </w:r>
      <w:r w:rsidRPr="00B73679">
        <w:rPr>
          <w:rFonts w:asciiTheme="minorBidi" w:eastAsia="Times New Roman" w:hAnsiTheme="minorBidi"/>
          <w:sz w:val="28"/>
          <w:szCs w:val="28"/>
          <w:rtl/>
        </w:rPr>
        <w:t xml:space="preserve"> المساس </w:t>
      </w:r>
      <w:r w:rsidRPr="00B73679">
        <w:rPr>
          <w:rFonts w:asciiTheme="minorBidi" w:eastAsia="Times New Roman" w:hAnsiTheme="minorBidi" w:hint="cs"/>
          <w:sz w:val="28"/>
          <w:szCs w:val="28"/>
          <w:rtl/>
        </w:rPr>
        <w:t>بحرية</w:t>
      </w:r>
      <w:r w:rsidRPr="00B73679">
        <w:rPr>
          <w:rFonts w:asciiTheme="minorBidi" w:eastAsia="Times New Roman" w:hAnsiTheme="minorBidi"/>
          <w:sz w:val="28"/>
          <w:szCs w:val="28"/>
          <w:rtl/>
        </w:rPr>
        <w:t xml:space="preserve"> المتهم عند امتناعه عن التوقيع على ورقة التكليف بالحضور وامتناعه عن الحضور بمقتضاها </w:t>
      </w:r>
      <w:r w:rsidRPr="00B73679">
        <w:rPr>
          <w:rFonts w:asciiTheme="minorBidi" w:eastAsia="Times New Roman" w:hAnsiTheme="minorBidi" w:hint="cs"/>
          <w:sz w:val="28"/>
          <w:szCs w:val="28"/>
          <w:rtl/>
        </w:rPr>
        <w:t>،ف</w:t>
      </w:r>
      <w:r w:rsidRPr="00B73679">
        <w:rPr>
          <w:rFonts w:asciiTheme="minorBidi" w:eastAsia="Times New Roman" w:hAnsiTheme="minorBidi"/>
          <w:sz w:val="28"/>
          <w:szCs w:val="28"/>
          <w:rtl/>
        </w:rPr>
        <w:t xml:space="preserve">إذا امتنع المتهم عن التوقيع على ورقة التكليف او كان عاجزا عن ذلك فعلى القائم بالتبليغ ان يفهمه مضمون الورقة ، وبحضور شاهدين ويشرح الاجراءات على النسختين ويوقع ويذكر اسم الشاهدين وتوقيعهما ويذكر التاريخ والوقت ويترك النسخة الثانية للمتهم . وعليه لا يجوز المساس بجسم المتهم إذا امتنع او كان عاجزا عن توقيع ورقة التكليف بالحضور او اذا امتنع عن الحضور بمقتضاها وهذا هو موقف القانون العراقي </w:t>
      </w:r>
      <w:r w:rsidRPr="00B73679">
        <w:rPr>
          <w:rFonts w:asciiTheme="minorBidi" w:eastAsia="Times New Roman" w:hAnsiTheme="minorBidi"/>
          <w:sz w:val="28"/>
          <w:szCs w:val="28"/>
          <w:vertAlign w:val="superscript"/>
          <w:rtl/>
        </w:rPr>
        <w:footnoteReference w:customMarkFollows="1" w:id="1"/>
        <w:t>(2)</w:t>
      </w:r>
      <w:r w:rsidRPr="00B73679">
        <w:rPr>
          <w:rFonts w:asciiTheme="minorBidi" w:eastAsia="Times New Roman" w:hAnsiTheme="minorBidi"/>
          <w:sz w:val="28"/>
          <w:szCs w:val="28"/>
          <w:rtl/>
        </w:rPr>
        <w:t xml:space="preserve"> وموقف أغلب القوانين العربية . فقد نصت المادة</w:t>
      </w:r>
      <w:r w:rsidRPr="00B73679">
        <w:rPr>
          <w:rFonts w:asciiTheme="minorBidi" w:eastAsia="Times New Roman" w:hAnsiTheme="minorBidi" w:hint="cs"/>
          <w:sz w:val="28"/>
          <w:szCs w:val="28"/>
          <w:rtl/>
        </w:rPr>
        <w:t xml:space="preserve"> (</w:t>
      </w:r>
      <w:r w:rsidRPr="00B73679">
        <w:rPr>
          <w:rFonts w:asciiTheme="minorBidi" w:eastAsia="Times New Roman" w:hAnsiTheme="minorBidi"/>
          <w:sz w:val="28"/>
          <w:szCs w:val="28"/>
          <w:rtl/>
        </w:rPr>
        <w:t xml:space="preserve"> 102</w:t>
      </w:r>
      <w:r w:rsidRPr="00B73679">
        <w:rPr>
          <w:rFonts w:asciiTheme="minorBidi" w:eastAsia="Times New Roman" w:hAnsiTheme="minorBidi" w:hint="cs"/>
          <w:sz w:val="28"/>
          <w:szCs w:val="28"/>
          <w:rtl/>
        </w:rPr>
        <w:t>)</w:t>
      </w:r>
      <w:r w:rsidRPr="00B73679">
        <w:rPr>
          <w:rFonts w:asciiTheme="minorBidi" w:eastAsia="Times New Roman" w:hAnsiTheme="minorBidi"/>
          <w:sz w:val="28"/>
          <w:szCs w:val="28"/>
          <w:rtl/>
        </w:rPr>
        <w:t xml:space="preserve"> من قانون  أصول المحاكمات الجزائية السوري على إنه ( لقاضي التحقيق في دعاوي الجناية والجنحة ان يكتفي بإصدار مذكرة دعوة ) أما الفقرة الثانية من المادة نفسها فقد نصت على إنه ( أما إذا لم يحضر المدعى عليه او خشى فراره فلقاضي التحقيق ان يصدر بحقه مذكرة إحضار ) ، ونص في المادة </w:t>
      </w:r>
      <w:r w:rsidRPr="00B73679">
        <w:rPr>
          <w:rFonts w:asciiTheme="minorBidi" w:eastAsia="Times New Roman" w:hAnsiTheme="minorBidi" w:hint="cs"/>
          <w:b/>
          <w:bCs/>
          <w:sz w:val="28"/>
          <w:szCs w:val="28"/>
          <w:rtl/>
        </w:rPr>
        <w:t>(</w:t>
      </w:r>
      <w:r w:rsidRPr="00B73679">
        <w:rPr>
          <w:rFonts w:asciiTheme="minorBidi" w:eastAsia="Times New Roman" w:hAnsiTheme="minorBidi"/>
          <w:b/>
          <w:bCs/>
          <w:sz w:val="28"/>
          <w:szCs w:val="28"/>
          <w:rtl/>
        </w:rPr>
        <w:t>111</w:t>
      </w:r>
      <w:r w:rsidRPr="00B73679">
        <w:rPr>
          <w:rFonts w:asciiTheme="minorBidi" w:eastAsia="Times New Roman" w:hAnsiTheme="minorBidi" w:hint="cs"/>
          <w:b/>
          <w:bCs/>
          <w:sz w:val="28"/>
          <w:szCs w:val="28"/>
          <w:rtl/>
        </w:rPr>
        <w:t>)</w:t>
      </w:r>
      <w:r w:rsidRPr="00B73679">
        <w:rPr>
          <w:rFonts w:asciiTheme="minorBidi" w:eastAsia="Times New Roman" w:hAnsiTheme="minorBidi"/>
          <w:sz w:val="28"/>
          <w:szCs w:val="28"/>
          <w:rtl/>
        </w:rPr>
        <w:t xml:space="preserve"> من قانون أصول المحاكمات الجزائية على إنه ( من لم يمتثل لمذكرة الاحضار او يحاول الهرب يساق جبراً </w:t>
      </w:r>
      <w:r w:rsidRPr="00B73679">
        <w:rPr>
          <w:rFonts w:asciiTheme="minorBidi" w:eastAsia="Times New Roman" w:hAnsiTheme="minorBidi"/>
          <w:sz w:val="28"/>
          <w:szCs w:val="28"/>
        </w:rPr>
        <w:t>…</w:t>
      </w:r>
      <w:r w:rsidRPr="00B73679">
        <w:rPr>
          <w:rFonts w:asciiTheme="minorBidi" w:eastAsia="Times New Roman" w:hAnsiTheme="minorBidi"/>
          <w:sz w:val="28"/>
          <w:szCs w:val="28"/>
          <w:rtl/>
        </w:rPr>
        <w:t>. ) وهذا يعني ان تنفيذ مذكرة الدعوة لا يجوز فيه استخدام القوة وبالتالي لا يجوز المساس بسلامة جسم المتهم بعكس مذكرة الاحضار التي يجوز فيها ذلك إذا لم يمتثل لها طوعا او حاول الهرب . كذلك نص المشرع الاردني على عدم جواز استخدام القوة في سبيل تنفيذ مذكرة الدعوة ( الحضور ) ، وهذا ما نصت عليه المادة</w:t>
      </w:r>
      <w:r w:rsidRPr="00B73679">
        <w:rPr>
          <w:rFonts w:asciiTheme="minorBidi" w:eastAsia="Times New Roman" w:hAnsiTheme="minorBidi" w:hint="cs"/>
          <w:sz w:val="28"/>
          <w:szCs w:val="28"/>
          <w:rtl/>
        </w:rPr>
        <w:t xml:space="preserve"> (111</w:t>
      </w:r>
      <w:r w:rsidRPr="00B73679">
        <w:rPr>
          <w:rFonts w:asciiTheme="minorBidi" w:eastAsia="Times New Roman" w:hAnsiTheme="minorBidi"/>
          <w:sz w:val="28"/>
          <w:szCs w:val="28"/>
          <w:rtl/>
        </w:rPr>
        <w:t>/</w:t>
      </w:r>
      <w:r w:rsidRPr="00B73679">
        <w:rPr>
          <w:rFonts w:asciiTheme="minorBidi" w:eastAsia="Times New Roman" w:hAnsiTheme="minorBidi" w:hint="cs"/>
          <w:sz w:val="28"/>
          <w:szCs w:val="28"/>
          <w:rtl/>
        </w:rPr>
        <w:t>2)</w:t>
      </w:r>
      <w:r w:rsidRPr="00B73679">
        <w:rPr>
          <w:rFonts w:asciiTheme="minorBidi" w:eastAsia="Times New Roman" w:hAnsiTheme="minorBidi"/>
          <w:sz w:val="28"/>
          <w:szCs w:val="28"/>
          <w:rtl/>
        </w:rPr>
        <w:t xml:space="preserve"> من قانون أصول </w:t>
      </w:r>
      <w:r w:rsidRPr="00B73679">
        <w:rPr>
          <w:rFonts w:asciiTheme="minorBidi" w:eastAsia="Times New Roman" w:hAnsiTheme="minorBidi"/>
          <w:sz w:val="28"/>
          <w:szCs w:val="28"/>
          <w:rtl/>
        </w:rPr>
        <w:br/>
        <w:t xml:space="preserve">المحاكمات الجزائية الاردني . وبالحكم نفسه اخذ المشرع التونسي في مجلة الاجراءات الجزائية رقم 23 لسنة 1968 الفصلين ( 68 و 78 ) </w:t>
      </w:r>
      <w:r w:rsidRPr="00B73679">
        <w:rPr>
          <w:rFonts w:asciiTheme="minorBidi" w:eastAsia="Times New Roman" w:hAnsiTheme="minorBidi" w:hint="cs"/>
          <w:sz w:val="28"/>
          <w:szCs w:val="28"/>
          <w:rtl/>
        </w:rPr>
        <w:t>،</w:t>
      </w:r>
      <w:r w:rsidRPr="00B73679">
        <w:rPr>
          <w:rFonts w:asciiTheme="minorBidi" w:eastAsia="Times New Roman" w:hAnsiTheme="minorBidi"/>
          <w:sz w:val="28"/>
          <w:szCs w:val="28"/>
          <w:rtl/>
        </w:rPr>
        <w:t xml:space="preserve">إذ نص الفصل </w:t>
      </w:r>
      <w:r w:rsidRPr="00B73679">
        <w:rPr>
          <w:rFonts w:asciiTheme="minorBidi" w:eastAsia="Times New Roman" w:hAnsiTheme="minorBidi" w:hint="cs"/>
          <w:sz w:val="28"/>
          <w:szCs w:val="28"/>
          <w:rtl/>
        </w:rPr>
        <w:t>(68)</w:t>
      </w:r>
      <w:r w:rsidRPr="00B73679">
        <w:rPr>
          <w:rFonts w:asciiTheme="minorBidi" w:eastAsia="Times New Roman" w:hAnsiTheme="minorBidi"/>
          <w:sz w:val="28"/>
          <w:szCs w:val="28"/>
          <w:rtl/>
        </w:rPr>
        <w:t xml:space="preserve"> على إنه  </w:t>
      </w:r>
      <w:r w:rsidRPr="00B73679">
        <w:rPr>
          <w:rFonts w:asciiTheme="minorBidi" w:eastAsia="Times New Roman" w:hAnsiTheme="minorBidi" w:hint="cs"/>
          <w:sz w:val="28"/>
          <w:szCs w:val="28"/>
          <w:rtl/>
        </w:rPr>
        <w:t>(</w:t>
      </w:r>
      <w:r w:rsidRPr="00B73679">
        <w:rPr>
          <w:rFonts w:asciiTheme="minorBidi" w:eastAsia="Times New Roman" w:hAnsiTheme="minorBidi"/>
          <w:sz w:val="28"/>
          <w:szCs w:val="28"/>
          <w:rtl/>
        </w:rPr>
        <w:t xml:space="preserve">إذا كان ذو الشبهة بحالة سراح يستدعي كتابة لاستنطاقه والاستدعاء يتم بالطريقة الإدارية أو بوسطة العدل المنفذ ) ، أما الفصل 78 فينص على ( إذا لم يحضر ذو الشبهة </w:t>
      </w:r>
      <w:r w:rsidRPr="00B73679">
        <w:rPr>
          <w:rFonts w:asciiTheme="minorBidi" w:eastAsia="Times New Roman" w:hAnsiTheme="minorBidi"/>
          <w:sz w:val="28"/>
          <w:szCs w:val="28"/>
        </w:rPr>
        <w:t>…</w:t>
      </w:r>
      <w:r w:rsidRPr="00B73679">
        <w:rPr>
          <w:rFonts w:asciiTheme="minorBidi" w:eastAsia="Times New Roman" w:hAnsiTheme="minorBidi"/>
          <w:sz w:val="28"/>
          <w:szCs w:val="28"/>
          <w:rtl/>
        </w:rPr>
        <w:t xml:space="preserve"> جاز للحاكم إن يصدر ضده بطاقة جلب .. ويضمن بها الإذن لكل عون من اعوان القوة العامة </w:t>
      </w:r>
      <w:r w:rsidRPr="00B73679">
        <w:rPr>
          <w:rFonts w:asciiTheme="minorBidi" w:eastAsia="Times New Roman" w:hAnsiTheme="minorBidi" w:hint="cs"/>
          <w:sz w:val="28"/>
          <w:szCs w:val="28"/>
          <w:rtl/>
        </w:rPr>
        <w:t>بإلقاء</w:t>
      </w:r>
      <w:r w:rsidRPr="00B73679">
        <w:rPr>
          <w:rFonts w:asciiTheme="minorBidi" w:eastAsia="Times New Roman" w:hAnsiTheme="minorBidi"/>
          <w:sz w:val="28"/>
          <w:szCs w:val="28"/>
          <w:rtl/>
        </w:rPr>
        <w:t xml:space="preserve"> القبض عليه وجلبه أمام حاكم التحقيق ) . وبالحكم المتقدم نفسه اخذ المشرع المصري في المادة 126 / من قانون الإجراءات الجنائية ، والمشرع الكويتي في المواد 17 و 21 من قانون الإجراءات الجنائية .</w:t>
      </w:r>
    </w:p>
    <w:p w:rsidR="00B73679" w:rsidRPr="00B73679" w:rsidRDefault="00B73679" w:rsidP="00B73679">
      <w:pPr>
        <w:spacing w:after="0" w:line="240" w:lineRule="auto"/>
        <w:ind w:firstLine="567"/>
        <w:jc w:val="both"/>
        <w:rPr>
          <w:rFonts w:ascii="Times New Roman" w:eastAsia="Times New Roman" w:hAnsi="Times New Roman" w:cs="Simplified Arabic"/>
          <w:sz w:val="20"/>
          <w:szCs w:val="28"/>
          <w:rtl/>
        </w:rPr>
      </w:pPr>
    </w:p>
    <w:p w:rsidR="00C20E54" w:rsidRPr="00B87747" w:rsidRDefault="00C20E54">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ED0" w:rsidRDefault="00A84ED0" w:rsidP="006D374C">
      <w:pPr>
        <w:spacing w:after="0" w:line="240" w:lineRule="auto"/>
      </w:pPr>
      <w:r>
        <w:separator/>
      </w:r>
    </w:p>
  </w:endnote>
  <w:endnote w:type="continuationSeparator" w:id="0">
    <w:p w:rsidR="00A84ED0" w:rsidRDefault="00A84ED0"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ED0" w:rsidRDefault="00A84ED0" w:rsidP="006D374C">
      <w:pPr>
        <w:spacing w:after="0" w:line="240" w:lineRule="auto"/>
      </w:pPr>
      <w:r>
        <w:separator/>
      </w:r>
    </w:p>
  </w:footnote>
  <w:footnote w:type="continuationSeparator" w:id="0">
    <w:p w:rsidR="00A84ED0" w:rsidRDefault="00A84ED0" w:rsidP="006D374C">
      <w:pPr>
        <w:spacing w:after="0" w:line="240" w:lineRule="auto"/>
      </w:pPr>
      <w:r>
        <w:continuationSeparator/>
      </w:r>
    </w:p>
  </w:footnote>
  <w:footnote w:id="1">
    <w:p w:rsidR="00B73679" w:rsidRDefault="00B73679" w:rsidP="00B73679"/>
    <w:p w:rsidR="00B73679" w:rsidRDefault="00B73679" w:rsidP="00B73679">
      <w:pPr>
        <w:pStyle w:val="a4"/>
        <w:jc w:val="lowKashida"/>
        <w:rPr>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1771C0"/>
    <w:rsid w:val="001854F3"/>
    <w:rsid w:val="00280E20"/>
    <w:rsid w:val="003973ED"/>
    <w:rsid w:val="00417789"/>
    <w:rsid w:val="0044715D"/>
    <w:rsid w:val="00641177"/>
    <w:rsid w:val="006D374C"/>
    <w:rsid w:val="008841EE"/>
    <w:rsid w:val="009B0584"/>
    <w:rsid w:val="00A66F79"/>
    <w:rsid w:val="00A84ED0"/>
    <w:rsid w:val="00B73679"/>
    <w:rsid w:val="00B87747"/>
    <w:rsid w:val="00BD4FF6"/>
    <w:rsid w:val="00BD547E"/>
    <w:rsid w:val="00C20E54"/>
    <w:rsid w:val="00C73E90"/>
    <w:rsid w:val="00D2610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5318</Characters>
  <Application>Microsoft Office Word</Application>
  <DocSecurity>0</DocSecurity>
  <Lines>44</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2015-09-25T19:11:00Z</dcterms:created>
  <dcterms:modified xsi:type="dcterms:W3CDTF">2015-09-25T19:11:00Z</dcterms:modified>
</cp:coreProperties>
</file>