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D26104">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8841EE">
        <w:rPr>
          <w:rFonts w:ascii="Arial" w:eastAsia="Times New Roman" w:hAnsi="Arial" w:cs="Simple Bold Jut Out" w:hint="cs"/>
          <w:sz w:val="36"/>
          <w:szCs w:val="36"/>
          <w:rtl/>
        </w:rPr>
        <w:t>2</w:t>
      </w:r>
      <w:r w:rsidR="00D26104">
        <w:rPr>
          <w:rFonts w:ascii="Arial" w:eastAsia="Times New Roman" w:hAnsi="Arial" w:cs="Simple Bold Jut Out" w:hint="cs"/>
          <w:sz w:val="36"/>
          <w:szCs w:val="36"/>
          <w:rtl/>
        </w:rPr>
        <w:t>2</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8841EE" w:rsidRPr="008841EE" w:rsidRDefault="008841EE" w:rsidP="008841EE">
      <w:pPr>
        <w:spacing w:after="0" w:line="240" w:lineRule="auto"/>
        <w:rPr>
          <w:rFonts w:ascii="Times New Roman" w:eastAsia="Times New Roman" w:hAnsi="Times New Roman" w:cs="MCS Jeddah S_U normal."/>
          <w:b/>
          <w:bCs/>
          <w:sz w:val="20"/>
          <w:szCs w:val="36"/>
          <w:rtl/>
        </w:rPr>
      </w:pPr>
    </w:p>
    <w:p w:rsidR="00417789" w:rsidRPr="00417789" w:rsidRDefault="00417789" w:rsidP="00417789">
      <w:pPr>
        <w:spacing w:after="0" w:line="240" w:lineRule="auto"/>
        <w:jc w:val="both"/>
        <w:rPr>
          <w:rFonts w:asciiTheme="minorBidi" w:eastAsia="Times New Roman" w:hAnsiTheme="minorBidi"/>
          <w:sz w:val="28"/>
          <w:szCs w:val="28"/>
          <w:rtl/>
        </w:rPr>
      </w:pPr>
    </w:p>
    <w:p w:rsidR="00417789" w:rsidRPr="00417789" w:rsidRDefault="00417789" w:rsidP="00417789">
      <w:pPr>
        <w:spacing w:after="0" w:line="240" w:lineRule="auto"/>
        <w:jc w:val="both"/>
        <w:rPr>
          <w:rFonts w:asciiTheme="minorBidi" w:eastAsia="Times New Roman" w:hAnsiTheme="minorBidi"/>
          <w:sz w:val="28"/>
          <w:szCs w:val="28"/>
          <w:rtl/>
        </w:rPr>
      </w:pPr>
    </w:p>
    <w:p w:rsidR="00D26104" w:rsidRPr="00D26104" w:rsidRDefault="00D26104" w:rsidP="00D26104">
      <w:pPr>
        <w:spacing w:after="0" w:line="240" w:lineRule="auto"/>
        <w:ind w:firstLine="284"/>
        <w:jc w:val="lowKashida"/>
        <w:rPr>
          <w:rFonts w:asciiTheme="minorBidi" w:eastAsia="Times New Roman" w:hAnsiTheme="minorBidi"/>
          <w:b/>
          <w:bCs/>
          <w:sz w:val="28"/>
          <w:szCs w:val="28"/>
          <w:rtl/>
        </w:rPr>
      </w:pPr>
      <w:r w:rsidRPr="00D26104">
        <w:rPr>
          <w:rFonts w:asciiTheme="minorBidi" w:eastAsia="Times New Roman" w:hAnsiTheme="minorBidi" w:hint="cs"/>
          <w:b/>
          <w:bCs/>
          <w:sz w:val="28"/>
          <w:szCs w:val="28"/>
          <w:rtl/>
        </w:rPr>
        <w:t>-</w:t>
      </w:r>
      <w:r w:rsidRPr="00D26104">
        <w:rPr>
          <w:rFonts w:asciiTheme="minorBidi" w:eastAsia="Times New Roman" w:hAnsiTheme="minorBidi"/>
          <w:b/>
          <w:bCs/>
          <w:sz w:val="28"/>
          <w:szCs w:val="28"/>
          <w:rtl/>
        </w:rPr>
        <w:t xml:space="preserve"> الشخص الطبيعي </w:t>
      </w:r>
    </w:p>
    <w:p w:rsidR="00D26104" w:rsidRPr="00D26104" w:rsidRDefault="00D26104" w:rsidP="00D26104">
      <w:pPr>
        <w:spacing w:after="0" w:line="240" w:lineRule="auto"/>
        <w:ind w:firstLine="284"/>
        <w:jc w:val="lowKashida"/>
        <w:rPr>
          <w:rFonts w:asciiTheme="minorBidi" w:eastAsia="Times New Roman" w:hAnsiTheme="minorBidi"/>
          <w:b/>
          <w:bCs/>
          <w:sz w:val="28"/>
          <w:szCs w:val="28"/>
          <w:rtl/>
        </w:rPr>
      </w:pPr>
    </w:p>
    <w:p w:rsidR="00D26104" w:rsidRPr="00D26104" w:rsidRDefault="00D26104" w:rsidP="00D26104">
      <w:pPr>
        <w:spacing w:after="0" w:line="240" w:lineRule="auto"/>
        <w:ind w:firstLine="284"/>
        <w:jc w:val="lowKashida"/>
        <w:rPr>
          <w:rFonts w:asciiTheme="minorBidi" w:eastAsia="Times New Roman" w:hAnsiTheme="minorBidi"/>
          <w:b/>
          <w:bCs/>
          <w:sz w:val="28"/>
          <w:szCs w:val="28"/>
          <w:rtl/>
        </w:rPr>
      </w:pPr>
      <w:r w:rsidRPr="00D26104">
        <w:rPr>
          <w:rFonts w:asciiTheme="minorBidi" w:eastAsia="Times New Roman" w:hAnsiTheme="minorBidi"/>
          <w:sz w:val="28"/>
          <w:szCs w:val="28"/>
          <w:rtl/>
        </w:rPr>
        <w:t xml:space="preserve">لا تتوافر شروط المسؤولية الجزائية – كأصل عام – من أدراك وحرية اختيار إلا في الشخص الطبيعي، أي الإنسان فهو الكائن الوحيد الذي يتمتع بإدراك وإرادة، والذي يستطيع إن يعبر عنهما بسلوك ملحوظ، وبما إن نصوص القوانين الجزائية هي عبارة عن أوامر ونواهي،              فهي إذن تخرج أي طائف أخرى غير الإنسان من نطاق تطبيقها كالحيوان                </w:t>
      </w:r>
      <w:proofErr w:type="spellStart"/>
      <w:r w:rsidRPr="00D26104">
        <w:rPr>
          <w:rFonts w:asciiTheme="minorBidi" w:eastAsia="Times New Roman" w:hAnsiTheme="minorBidi"/>
          <w:sz w:val="28"/>
          <w:szCs w:val="28"/>
          <w:rtl/>
        </w:rPr>
        <w:t>أوالجماد</w:t>
      </w:r>
      <w:proofErr w:type="spellEnd"/>
      <w:r w:rsidRPr="00D26104">
        <w:rPr>
          <w:rFonts w:asciiTheme="minorBidi" w:eastAsia="Times New Roman" w:hAnsiTheme="minorBidi"/>
          <w:sz w:val="28"/>
          <w:szCs w:val="28"/>
          <w:rtl/>
        </w:rPr>
        <w:t xml:space="preserve"> أو قوى الطبيعة التي أقرت التشريعات القديمة مسؤوليتها الجزائية                                كالقوانين العبرية واليونانية والرومانية. </w:t>
      </w:r>
    </w:p>
    <w:p w:rsidR="00D26104" w:rsidRPr="00D26104" w:rsidRDefault="00D26104" w:rsidP="00D26104">
      <w:pPr>
        <w:spacing w:after="0" w:line="240" w:lineRule="auto"/>
        <w:ind w:firstLine="284"/>
        <w:jc w:val="lowKashida"/>
        <w:rPr>
          <w:rFonts w:asciiTheme="minorBidi" w:eastAsia="Times New Roman" w:hAnsiTheme="minorBidi"/>
          <w:b/>
          <w:bCs/>
          <w:sz w:val="28"/>
          <w:szCs w:val="28"/>
          <w:rtl/>
        </w:rPr>
      </w:pP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وطبقاً لما تقدم فلكي يكتسب الشخص الطبيعي الأهلية الإجرائية يجب أن يكون        موجوداً أي حياً، فلا يمكن أن ترفع الدعوى الجزائية على إنسان ميت، لأن الغاي</w:t>
      </w:r>
      <w:r w:rsidRPr="00D26104">
        <w:rPr>
          <w:rFonts w:asciiTheme="minorBidi" w:eastAsia="Times New Roman" w:hAnsiTheme="minorBidi" w:hint="cs"/>
          <w:sz w:val="28"/>
          <w:szCs w:val="28"/>
          <w:rtl/>
        </w:rPr>
        <w:t>ة</w:t>
      </w:r>
      <w:r w:rsidRPr="00D26104">
        <w:rPr>
          <w:rFonts w:asciiTheme="minorBidi" w:eastAsia="Times New Roman" w:hAnsiTheme="minorBidi"/>
          <w:sz w:val="28"/>
          <w:szCs w:val="28"/>
          <w:rtl/>
        </w:rPr>
        <w:t xml:space="preserve">  من رفع الدعوى الجزائية هي توقيع العقوبة على المتهم فأن وفاته تجعل من هذه  الغاية مستحيلة التحقيق </w:t>
      </w:r>
      <w:proofErr w:type="spellStart"/>
      <w:r w:rsidRPr="00D26104">
        <w:rPr>
          <w:rFonts w:asciiTheme="minorBidi" w:eastAsia="Times New Roman" w:hAnsiTheme="minorBidi"/>
          <w:sz w:val="28"/>
          <w:szCs w:val="28"/>
          <w:rtl/>
        </w:rPr>
        <w:t>إنطلاقاً</w:t>
      </w:r>
      <w:proofErr w:type="spellEnd"/>
      <w:r w:rsidRPr="00D26104">
        <w:rPr>
          <w:rFonts w:asciiTheme="minorBidi" w:eastAsia="Times New Roman" w:hAnsiTheme="minorBidi"/>
          <w:sz w:val="28"/>
          <w:szCs w:val="28"/>
          <w:rtl/>
        </w:rPr>
        <w:t xml:space="preserve"> من مبدأ " شخصية العقوبة " الذي اعتمدته سائر التشريعات الجزائية، المعاصرة، لذلك ونظراً لتعدد المراحل التي تمر بها الدعوى الجزائية، فأن الوفاة  قد تدرك المتهم في أي مرحلة من مراحلها، فقد تحدث قبل رفع الدعوى الجزائية وقد  تحدث بعد رفعها وقبل صدور الحكم فيها، أو بعد صدور الحكم وقبل الطعن فيه، أو قد تحدث بعد الطعن وقبل الفصل فيه، ولكل مرحلة أثار معينة تختلف عن المراحل    الأخرى.</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فوفاة المتهم بعد </w:t>
      </w:r>
      <w:r w:rsidRPr="00D26104">
        <w:rPr>
          <w:rFonts w:asciiTheme="minorBidi" w:eastAsia="Times New Roman" w:hAnsiTheme="minorBidi" w:hint="cs"/>
          <w:sz w:val="28"/>
          <w:szCs w:val="28"/>
          <w:rtl/>
        </w:rPr>
        <w:t>ارتكاب</w:t>
      </w:r>
      <w:r w:rsidRPr="00D26104">
        <w:rPr>
          <w:rFonts w:asciiTheme="minorBidi" w:eastAsia="Times New Roman" w:hAnsiTheme="minorBidi"/>
          <w:sz w:val="28"/>
          <w:szCs w:val="28"/>
          <w:rtl/>
        </w:rPr>
        <w:t xml:space="preserve"> الجريمة وقبل تحريك الدعوى الجزائية توجب على السلطات التحقيقية إن تأمر بحفظ الأوراق بناءً على محضر جمع </w:t>
      </w:r>
      <w:proofErr w:type="spellStart"/>
      <w:r w:rsidRPr="00D26104">
        <w:rPr>
          <w:rFonts w:asciiTheme="minorBidi" w:eastAsia="Times New Roman" w:hAnsiTheme="minorBidi"/>
          <w:sz w:val="28"/>
          <w:szCs w:val="28"/>
          <w:rtl/>
        </w:rPr>
        <w:t>الإستدلالات</w:t>
      </w:r>
      <w:proofErr w:type="spellEnd"/>
      <w:r w:rsidRPr="00D26104">
        <w:rPr>
          <w:rFonts w:asciiTheme="minorBidi" w:eastAsia="Times New Roman" w:hAnsiTheme="minorBidi"/>
          <w:sz w:val="28"/>
          <w:szCs w:val="28"/>
          <w:rtl/>
        </w:rPr>
        <w:t xml:space="preserve"> أو التحري وجمع الادلة، أو ترفض الشكوى، كون الوفاة تمنع من تحريك الدعوى فيسقط حق الدولة في العقاب .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 ويمكن </w:t>
      </w:r>
      <w:proofErr w:type="spellStart"/>
      <w:r w:rsidRPr="00D26104">
        <w:rPr>
          <w:rFonts w:asciiTheme="minorBidi" w:eastAsia="Times New Roman" w:hAnsiTheme="minorBidi"/>
          <w:sz w:val="28"/>
          <w:szCs w:val="28"/>
          <w:rtl/>
        </w:rPr>
        <w:t>للإدعاء</w:t>
      </w:r>
      <w:proofErr w:type="spellEnd"/>
      <w:r w:rsidRPr="00D26104">
        <w:rPr>
          <w:rFonts w:asciiTheme="minorBidi" w:eastAsia="Times New Roman" w:hAnsiTheme="minorBidi"/>
          <w:sz w:val="28"/>
          <w:szCs w:val="28"/>
          <w:rtl/>
        </w:rPr>
        <w:t xml:space="preserve"> العام في التشريع العراقي وللنيابة العامة في التشريع المصري إن تقوم بتحريك الدعوى الجزائية للتأكد من عدم وجود شركاء آخرين للمتهم المتوفى في الجريمة، مادام يحق لهاتين الجهتين تحريك الدعوى الجزائية ولو كان المتهم مجهولاً، فأن وجد شركاء آخرين في الجريمة فأن الدعوى الجزائية تستمر ضدهم، لأن الوفاة ذات أثر شخصي لا تنصرف إلا للمتوفي؛ ولا تمتد إلى غيره من المتهمين؛ سواء أكانوا فاعلين أصليين أم شركاء في الجريمة عدا جريمة الزنا فأن موت الزوج الزاني أو الزوجة الزانية تمنع من </w:t>
      </w:r>
      <w:proofErr w:type="spellStart"/>
      <w:r w:rsidRPr="00D26104">
        <w:rPr>
          <w:rFonts w:asciiTheme="minorBidi" w:eastAsia="Times New Roman" w:hAnsiTheme="minorBidi"/>
          <w:sz w:val="28"/>
          <w:szCs w:val="28"/>
          <w:rtl/>
        </w:rPr>
        <w:t>إستمرار</w:t>
      </w:r>
      <w:proofErr w:type="spellEnd"/>
      <w:r w:rsidRPr="00D26104">
        <w:rPr>
          <w:rFonts w:asciiTheme="minorBidi" w:eastAsia="Times New Roman" w:hAnsiTheme="minorBidi"/>
          <w:sz w:val="28"/>
          <w:szCs w:val="28"/>
          <w:rtl/>
        </w:rPr>
        <w:t xml:space="preserve"> الدعوى الجزائية ضد الشريك فتتوقف الإجراءات نهائياً، لأن وفاة أحدهم يؤدي إلى تجزئة الواقعة.</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إما إذا توصلت التحقيقات إلى عدم وجود شركاء آخرين للمتهم المتوفى، كان على الجهات التحقيقية إن تصدر قرار بألا وجه لإقامة الدعوى لوفاة المتهم، أو تقرر وقف الإجراءات القانونية</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1"/>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xml:space="preserve"> . </w:t>
      </w:r>
    </w:p>
    <w:p w:rsidR="00D26104" w:rsidRPr="00D26104" w:rsidRDefault="00D26104" w:rsidP="00D26104">
      <w:pPr>
        <w:spacing w:after="0" w:line="240" w:lineRule="auto"/>
        <w:ind w:left="284" w:firstLine="284"/>
        <w:jc w:val="both"/>
        <w:rPr>
          <w:rFonts w:asciiTheme="minorBidi" w:eastAsia="Times New Roman" w:hAnsiTheme="minorBidi"/>
          <w:sz w:val="28"/>
          <w:szCs w:val="28"/>
          <w:rtl/>
        </w:rPr>
      </w:pPr>
      <w:r w:rsidRPr="00D26104">
        <w:rPr>
          <w:rFonts w:asciiTheme="minorBidi" w:eastAsia="Times New Roman" w:hAnsiTheme="minorBidi"/>
          <w:sz w:val="28"/>
          <w:szCs w:val="28"/>
          <w:rtl/>
        </w:rPr>
        <w:lastRenderedPageBreak/>
        <w:t xml:space="preserve">إما إذا حصلت الوفاة بعد تحريك الدعوى الجزائية فأنها تؤدي إلى </w:t>
      </w:r>
      <w:proofErr w:type="spellStart"/>
      <w:r w:rsidRPr="00D26104">
        <w:rPr>
          <w:rFonts w:asciiTheme="minorBidi" w:eastAsia="Times New Roman" w:hAnsiTheme="minorBidi"/>
          <w:sz w:val="28"/>
          <w:szCs w:val="28"/>
          <w:rtl/>
        </w:rPr>
        <w:t>إنقضائها</w:t>
      </w:r>
      <w:proofErr w:type="spellEnd"/>
      <w:r w:rsidRPr="00D26104">
        <w:rPr>
          <w:rFonts w:asciiTheme="minorBidi" w:eastAsia="Times New Roman" w:hAnsiTheme="minorBidi"/>
          <w:sz w:val="28"/>
          <w:szCs w:val="28"/>
          <w:rtl/>
        </w:rPr>
        <w:t xml:space="preserve"> في كل الأحوال.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أما إذا حدثت الوفاة بعد تحريك الدعوى الجزائية وفي مرحلة التحقيق الابتدائي فعلى السلطات التحقيقية إن تصدر قراراً بوقف الإجراءات وقفاً نهائياً، وذلك طبقاً للمادة ( 304 ) من قانون أصول المحاكمات الجزائية العراقي.</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كما أن وفاة المتهم في مرحلة المحاكمة توجب على المحكمة المختصة بنظر الدعوى إن تحكم بوقف الإجراءات وقفاً نهائياً طبقاً لنص المادة ( 304 )، وهذا ما ذهبت إليه محكمة جنايات كربلاء في قرار لها بالقول :((( أتباعاً للقرار التميزي قد أطلعت المحكمة على صورة قيد الوفاة الأصلية ... والمتضمنة وفاة   ( المتهم ) ... كما أطلعت المحكمة على تقرير الطب العدلي التشريحي الخاص بالمتوفى المذكور ... وصورة قيد الوفاة المرفق مع أوراق الدعوى </w:t>
      </w:r>
      <w:proofErr w:type="spellStart"/>
      <w:r w:rsidRPr="00D26104">
        <w:rPr>
          <w:rFonts w:asciiTheme="minorBidi" w:eastAsia="Times New Roman" w:hAnsiTheme="minorBidi"/>
          <w:sz w:val="28"/>
          <w:szCs w:val="28"/>
          <w:rtl/>
        </w:rPr>
        <w:t>وبناءاً</w:t>
      </w:r>
      <w:proofErr w:type="spellEnd"/>
      <w:r w:rsidRPr="00D26104">
        <w:rPr>
          <w:rFonts w:asciiTheme="minorBidi" w:eastAsia="Times New Roman" w:hAnsiTheme="minorBidi"/>
          <w:sz w:val="28"/>
          <w:szCs w:val="28"/>
          <w:rtl/>
        </w:rPr>
        <w:t xml:space="preserve"> على ذلك قررت المحكمة إيقاف الإجراءات بحق المتهم إيقافاً نهائياً، نتيجة لوفاته </w:t>
      </w:r>
      <w:proofErr w:type="spellStart"/>
      <w:r w:rsidRPr="00D26104">
        <w:rPr>
          <w:rFonts w:asciiTheme="minorBidi" w:eastAsia="Times New Roman" w:hAnsiTheme="minorBidi"/>
          <w:sz w:val="28"/>
          <w:szCs w:val="28"/>
          <w:rtl/>
        </w:rPr>
        <w:t>إستناداً</w:t>
      </w:r>
      <w:proofErr w:type="spellEnd"/>
      <w:r w:rsidRPr="00D26104">
        <w:rPr>
          <w:rFonts w:asciiTheme="minorBidi" w:eastAsia="Times New Roman" w:hAnsiTheme="minorBidi"/>
          <w:sz w:val="28"/>
          <w:szCs w:val="28"/>
          <w:rtl/>
        </w:rPr>
        <w:t xml:space="preserve"> لأحكام المادة 304 من قانون أصول المحاكمات الجزائية ... )</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2"/>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xml:space="preserve">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 ولا يجوز للمحكمة أن تحكم في الحالة المذكورة بأي عقوبة على المتهم المتوفى إلا بمصادرة الأشياء التي </w:t>
      </w:r>
      <w:proofErr w:type="spellStart"/>
      <w:r w:rsidRPr="00D26104">
        <w:rPr>
          <w:rFonts w:asciiTheme="minorBidi" w:eastAsia="Times New Roman" w:hAnsiTheme="minorBidi"/>
          <w:sz w:val="28"/>
          <w:szCs w:val="28"/>
          <w:rtl/>
        </w:rPr>
        <w:t>إستعملت</w:t>
      </w:r>
      <w:proofErr w:type="spellEnd"/>
      <w:r w:rsidRPr="00D26104">
        <w:rPr>
          <w:rFonts w:asciiTheme="minorBidi" w:eastAsia="Times New Roman" w:hAnsiTheme="minorBidi"/>
          <w:sz w:val="28"/>
          <w:szCs w:val="28"/>
          <w:rtl/>
        </w:rPr>
        <w:t xml:space="preserve"> أو </w:t>
      </w:r>
      <w:proofErr w:type="spellStart"/>
      <w:r w:rsidRPr="00D26104">
        <w:rPr>
          <w:rFonts w:asciiTheme="minorBidi" w:eastAsia="Times New Roman" w:hAnsiTheme="minorBidi"/>
          <w:sz w:val="28"/>
          <w:szCs w:val="28"/>
          <w:rtl/>
        </w:rPr>
        <w:t>إستحصلت</w:t>
      </w:r>
      <w:proofErr w:type="spellEnd"/>
      <w:r w:rsidRPr="00D26104">
        <w:rPr>
          <w:rFonts w:asciiTheme="minorBidi" w:eastAsia="Times New Roman" w:hAnsiTheme="minorBidi"/>
          <w:sz w:val="28"/>
          <w:szCs w:val="28"/>
          <w:rtl/>
        </w:rPr>
        <w:t xml:space="preserve"> من الجريمة إذا كانت حيازة هذه الأشياء هي جريمة بحد ذاتها</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3"/>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إذ نصت المادة ( 307 ) من قانون أصول المحاكمات الجزائية العراقي على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((لا يمنع </w:t>
      </w:r>
      <w:proofErr w:type="spellStart"/>
      <w:r w:rsidRPr="00D26104">
        <w:rPr>
          <w:rFonts w:asciiTheme="minorBidi" w:eastAsia="Times New Roman" w:hAnsiTheme="minorBidi"/>
          <w:sz w:val="28"/>
          <w:szCs w:val="28"/>
          <w:rtl/>
        </w:rPr>
        <w:t>إنقضاء</w:t>
      </w:r>
      <w:proofErr w:type="spellEnd"/>
      <w:r w:rsidRPr="00D26104">
        <w:rPr>
          <w:rFonts w:asciiTheme="minorBidi" w:eastAsia="Times New Roman" w:hAnsiTheme="minorBidi"/>
          <w:sz w:val="28"/>
          <w:szCs w:val="28"/>
          <w:rtl/>
        </w:rPr>
        <w:t xml:space="preserve"> الدعوى لأي سبب قانوني من مصادرة الأشياء الممنوع حيازتها قانوناً )).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إما إذا حصلت الوفاة بعد الحكم بالدعوى وقبل إن يصبح الحكم باتاً، أي في فترة قابليته للطعن، أو في أثناء نظر الطعن وجب على المحكمة التي تنظر الطعن إن تصدر حكمها </w:t>
      </w:r>
      <w:proofErr w:type="spellStart"/>
      <w:r w:rsidRPr="00D26104">
        <w:rPr>
          <w:rFonts w:asciiTheme="minorBidi" w:eastAsia="Times New Roman" w:hAnsiTheme="minorBidi"/>
          <w:sz w:val="28"/>
          <w:szCs w:val="28"/>
          <w:rtl/>
        </w:rPr>
        <w:t>بإنقضاء</w:t>
      </w:r>
      <w:proofErr w:type="spellEnd"/>
      <w:r w:rsidRPr="00D26104">
        <w:rPr>
          <w:rFonts w:asciiTheme="minorBidi" w:eastAsia="Times New Roman" w:hAnsiTheme="minorBidi"/>
          <w:sz w:val="28"/>
          <w:szCs w:val="28"/>
          <w:rtl/>
        </w:rPr>
        <w:t xml:space="preserve"> الدعوى الجزائية بوفاة المتهم سواء أكان الحكم الصادر بالبراءة أو بالإدانة، فيصبح الحكم منعدماً قانوناً، ويمتنع على أي جهة إن تطعن فيه، سواء ورثة المتهم أو </w:t>
      </w:r>
      <w:proofErr w:type="spellStart"/>
      <w:r w:rsidRPr="00D26104">
        <w:rPr>
          <w:rFonts w:asciiTheme="minorBidi" w:eastAsia="Times New Roman" w:hAnsiTheme="minorBidi"/>
          <w:sz w:val="28"/>
          <w:szCs w:val="28"/>
          <w:rtl/>
        </w:rPr>
        <w:t>الإدعاء</w:t>
      </w:r>
      <w:proofErr w:type="spellEnd"/>
      <w:r w:rsidRPr="00D26104">
        <w:rPr>
          <w:rFonts w:asciiTheme="minorBidi" w:eastAsia="Times New Roman" w:hAnsiTheme="minorBidi"/>
          <w:sz w:val="28"/>
          <w:szCs w:val="28"/>
          <w:rtl/>
        </w:rPr>
        <w:t xml:space="preserve"> العام أو النيابة العامة في التشريع المصري أو المشتكي، إما إذا حدثت الوفاة بعد إن أصبح الحكم باتاً، أي بعد أن بتت المحكمة المختصة بالطعن، فإن الدعوى الجزائية تنتهي في هذه الحالة نهاية طبيعية بصدور حكم فيها واكتسابه قوة الشيء المحكوم فيه، ولا تكون لواقعة الوفاة أي تأثير على الدعوى، وإنما يقتصر تأثيرها على العقوبة في حالة ما إذا كان الحكم صادراً بالإدانة، إذ أن الوفاة تؤدي إلى سقوط العقوبة البدنية فقط، وتنفذ العقوبات المالية التي أشتمل عليها الحكم وكذلك المصاريف وما يجب رده من التركة.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p>
    <w:p w:rsidR="00D26104" w:rsidRPr="00D26104" w:rsidRDefault="00D26104" w:rsidP="00D26104">
      <w:pPr>
        <w:spacing w:after="0" w:line="240" w:lineRule="auto"/>
        <w:ind w:firstLine="284"/>
        <w:jc w:val="lowKashida"/>
        <w:rPr>
          <w:rFonts w:ascii="Simplified Arabic" w:eastAsia="Times New Roman" w:hAnsi="Simplified Arabic" w:cs="Simplified Arabic"/>
          <w:b/>
          <w:bCs/>
          <w:sz w:val="28"/>
          <w:szCs w:val="28"/>
          <w:rtl/>
        </w:rPr>
      </w:pPr>
      <w:r w:rsidRPr="00D26104">
        <w:rPr>
          <w:rFonts w:ascii="Simplified Arabic" w:eastAsia="Times New Roman" w:hAnsi="Simplified Arabic" w:cs="Simplified Arabic" w:hint="cs"/>
          <w:b/>
          <w:bCs/>
          <w:sz w:val="28"/>
          <w:szCs w:val="28"/>
          <w:rtl/>
        </w:rPr>
        <w:t xml:space="preserve">   2- الشخص المعنوي ( الاعتباري )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  الشخص المعنوي أو الاعتباري هو جماعة من الأشخاص يضمهم تكوين يرمي إلى هدف معين أو مجموعة من الأموال ترصد لتحقيق غرض معين، يخلع القانون عليه الشخصية، فتكون شخصاً مستقلاً ومتميزاً عن الأشخاص اللذين يساهمون في نشاطها أو يفيدون منها، كالدولة والجمعية والشركة والمؤسسة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وتنقسم الأشخاص الاعتبارية على قسمين عامة وخاصة، إذ تعدّ الأشخاص المعنوية العامة من أشخاص القانون العام فتخضع لأحكامه، وتُعدّ الأشخاص الاعتبارية الخاصة من أشخاص القانون الخاص تسري عليها أحكامه، ألا إن هذه القاعدة ليست مطلقة؛ فهناك من الأشخاص الاعتبارية العامة ما يخضع في بعض النواحي لأحكام القانون الخاص، والعكس صحيح كذلك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lastRenderedPageBreak/>
        <w:t>وتنقسم الأشخاص الاعتبارية العامة بدورها إلى فئتين أشخاص إقليمية وهي الدولة،  والمنشآت والمؤسسات العامة ويطلق عليها المرافق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كما تنقسم أيضاً الأشخاص المعنوية الخاصة على فئتين الأولى جماعات الأشخاص مثل الشركات والجمعيات، أما الثانية مجموعة الأموال وتشمل المؤسسات الخاصة</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4"/>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xml:space="preserve">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وعلى ذلك فإن الشخص المعنوي هو شخصاً قانونياً له حقوق يطالب بها وعليه واجبات يسأل عنها، وما يهمنا في أطار بحثنا هذا هو مسؤوليته الجزائية، أي إمكانية إتهام الشخص المعنوي ومساءلته جزائياً عن الجريمة المنسوبة إليه – الأهلية الإجرائية – التي كانت وما تزال موضع خلاف في الفقه والتشريعات الجزائية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  فثار موضوع مسؤولية الشخص المعنوي الجزائية مشكلة في الفكر القانوني منذ أمد بعيد تزامن مع ظهور فكرة الشخصية المعنوية، وقد </w:t>
      </w:r>
      <w:proofErr w:type="spellStart"/>
      <w:r w:rsidRPr="00D26104">
        <w:rPr>
          <w:rFonts w:asciiTheme="minorBidi" w:eastAsia="Times New Roman" w:hAnsiTheme="minorBidi"/>
          <w:sz w:val="28"/>
          <w:szCs w:val="28"/>
          <w:rtl/>
        </w:rPr>
        <w:t>أقترنت</w:t>
      </w:r>
      <w:proofErr w:type="spellEnd"/>
      <w:r w:rsidRPr="00D26104">
        <w:rPr>
          <w:rFonts w:asciiTheme="minorBidi" w:eastAsia="Times New Roman" w:hAnsiTheme="minorBidi"/>
          <w:sz w:val="28"/>
          <w:szCs w:val="28"/>
          <w:rtl/>
        </w:rPr>
        <w:t xml:space="preserve"> هذه المشكلة منذ ظهورها بجدل فقهي </w:t>
      </w:r>
      <w:proofErr w:type="spellStart"/>
      <w:r w:rsidRPr="00D26104">
        <w:rPr>
          <w:rFonts w:asciiTheme="minorBidi" w:eastAsia="Times New Roman" w:hAnsiTheme="minorBidi"/>
          <w:sz w:val="28"/>
          <w:szCs w:val="28"/>
          <w:rtl/>
        </w:rPr>
        <w:t>إتسع</w:t>
      </w:r>
      <w:proofErr w:type="spellEnd"/>
      <w:r w:rsidRPr="00D26104">
        <w:rPr>
          <w:rFonts w:asciiTheme="minorBidi" w:eastAsia="Times New Roman" w:hAnsiTheme="minorBidi"/>
          <w:sz w:val="28"/>
          <w:szCs w:val="28"/>
          <w:rtl/>
        </w:rPr>
        <w:t xml:space="preserve"> نطاقه تدريجياً مع تطور النظرة للأشخاص المعنوية وتعاقب المراحل التاريخية المختلفة على هذه المشكلة التي </w:t>
      </w:r>
      <w:proofErr w:type="spellStart"/>
      <w:r w:rsidRPr="00D26104">
        <w:rPr>
          <w:rFonts w:asciiTheme="minorBidi" w:eastAsia="Times New Roman" w:hAnsiTheme="minorBidi"/>
          <w:sz w:val="28"/>
          <w:szCs w:val="28"/>
          <w:rtl/>
        </w:rPr>
        <w:t>إنصبت</w:t>
      </w:r>
      <w:proofErr w:type="spellEnd"/>
      <w:r w:rsidRPr="00D26104">
        <w:rPr>
          <w:rFonts w:asciiTheme="minorBidi" w:eastAsia="Times New Roman" w:hAnsiTheme="minorBidi"/>
          <w:sz w:val="28"/>
          <w:szCs w:val="28"/>
          <w:rtl/>
        </w:rPr>
        <w:t xml:space="preserve"> عليها </w:t>
      </w:r>
      <w:r w:rsidRPr="00D26104">
        <w:rPr>
          <w:rFonts w:asciiTheme="minorBidi" w:eastAsia="Times New Roman" w:hAnsiTheme="minorBidi" w:hint="cs"/>
          <w:sz w:val="28"/>
          <w:szCs w:val="28"/>
          <w:rtl/>
        </w:rPr>
        <w:t>اجتهادات</w:t>
      </w:r>
      <w:r w:rsidRPr="00D26104">
        <w:rPr>
          <w:rFonts w:asciiTheme="minorBidi" w:eastAsia="Times New Roman" w:hAnsiTheme="minorBidi"/>
          <w:sz w:val="28"/>
          <w:szCs w:val="28"/>
          <w:rtl/>
        </w:rPr>
        <w:t xml:space="preserve">  الفقه القانوني خلال هذه المراحل، إذ تعددت وتعقدت وتناقضت هذه الآراء حتى بلغت في تناقضها ذروة </w:t>
      </w:r>
      <w:proofErr w:type="spellStart"/>
      <w:r w:rsidRPr="00D26104">
        <w:rPr>
          <w:rFonts w:asciiTheme="minorBidi" w:eastAsia="Times New Roman" w:hAnsiTheme="minorBidi"/>
          <w:sz w:val="28"/>
          <w:szCs w:val="28"/>
          <w:rtl/>
        </w:rPr>
        <w:t>الأحتدام</w:t>
      </w:r>
      <w:proofErr w:type="spellEnd"/>
      <w:r w:rsidRPr="00D26104">
        <w:rPr>
          <w:rFonts w:asciiTheme="minorBidi" w:eastAsia="Times New Roman" w:hAnsiTheme="minorBidi"/>
          <w:sz w:val="28"/>
          <w:szCs w:val="28"/>
          <w:rtl/>
        </w:rPr>
        <w:t>، وما تزال هذه المشكلة بما أثارته من جدل فكري قائمة حتى يومنا هذا</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5"/>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xml:space="preserve"> .</w:t>
      </w:r>
    </w:p>
    <w:p w:rsidR="00D26104" w:rsidRPr="00D26104" w:rsidRDefault="00D26104" w:rsidP="00D26104">
      <w:pPr>
        <w:spacing w:after="0" w:line="240" w:lineRule="auto"/>
        <w:ind w:firstLine="284"/>
        <w:rPr>
          <w:rFonts w:asciiTheme="minorBidi" w:eastAsia="Times New Roman" w:hAnsiTheme="minorBidi"/>
          <w:sz w:val="28"/>
          <w:szCs w:val="28"/>
          <w:rtl/>
        </w:rPr>
      </w:pPr>
      <w:r w:rsidRPr="00D26104">
        <w:rPr>
          <w:rFonts w:asciiTheme="minorBidi" w:eastAsia="Times New Roman" w:hAnsiTheme="minorBidi"/>
          <w:sz w:val="28"/>
          <w:szCs w:val="28"/>
          <w:rtl/>
        </w:rPr>
        <w:t xml:space="preserve">فقد </w:t>
      </w:r>
      <w:proofErr w:type="spellStart"/>
      <w:r w:rsidRPr="00D26104">
        <w:rPr>
          <w:rFonts w:asciiTheme="minorBidi" w:eastAsia="Times New Roman" w:hAnsiTheme="minorBidi"/>
          <w:sz w:val="28"/>
          <w:szCs w:val="28"/>
          <w:rtl/>
        </w:rPr>
        <w:t>إنقسم</w:t>
      </w:r>
      <w:proofErr w:type="spellEnd"/>
      <w:r w:rsidRPr="00D26104">
        <w:rPr>
          <w:rFonts w:asciiTheme="minorBidi" w:eastAsia="Times New Roman" w:hAnsiTheme="minorBidi"/>
          <w:sz w:val="28"/>
          <w:szCs w:val="28"/>
          <w:rtl/>
        </w:rPr>
        <w:t xml:space="preserve"> الفقه الجنائي بشأن مسؤولية الشخص المعنوي الجزائية على ثلاثة أقسام، معارض ومؤيد ومحايد .</w:t>
      </w:r>
    </w:p>
    <w:p w:rsidR="00D26104" w:rsidRPr="00D26104" w:rsidRDefault="00D26104" w:rsidP="00D26104">
      <w:pPr>
        <w:spacing w:after="0" w:line="240" w:lineRule="auto"/>
        <w:ind w:firstLine="284"/>
        <w:rPr>
          <w:rFonts w:ascii="Simplified Arabic" w:eastAsia="Times New Roman" w:hAnsi="Simplified Arabic" w:cs="Simplified Arabic"/>
          <w:sz w:val="28"/>
          <w:szCs w:val="28"/>
          <w:rtl/>
        </w:rPr>
      </w:pPr>
    </w:p>
    <w:p w:rsidR="00D26104" w:rsidRPr="00D26104" w:rsidRDefault="00D26104" w:rsidP="00D26104">
      <w:pPr>
        <w:spacing w:after="0" w:line="240" w:lineRule="auto"/>
        <w:ind w:firstLine="284"/>
        <w:rPr>
          <w:rFonts w:ascii="Simplified Arabic" w:eastAsia="Times New Roman" w:hAnsi="Simplified Arabic" w:cs="Simplified Arabic"/>
          <w:sz w:val="28"/>
          <w:szCs w:val="28"/>
          <w:rtl/>
        </w:rPr>
      </w:pPr>
      <w:r w:rsidRPr="00D26104">
        <w:rPr>
          <w:rFonts w:ascii="Simplified Arabic" w:eastAsia="Times New Roman" w:hAnsi="Simplified Arabic" w:cs="Simplified Arabic" w:hint="cs"/>
          <w:b/>
          <w:bCs/>
          <w:sz w:val="32"/>
          <w:szCs w:val="32"/>
          <w:rtl/>
        </w:rPr>
        <w:t xml:space="preserve">أ- </w:t>
      </w:r>
      <w:proofErr w:type="spellStart"/>
      <w:r w:rsidRPr="00D26104">
        <w:rPr>
          <w:rFonts w:ascii="Simplified Arabic" w:eastAsia="Times New Roman" w:hAnsi="Simplified Arabic" w:cs="Simplified Arabic" w:hint="cs"/>
          <w:b/>
          <w:bCs/>
          <w:sz w:val="32"/>
          <w:szCs w:val="32"/>
          <w:rtl/>
        </w:rPr>
        <w:t>الإتجاه</w:t>
      </w:r>
      <w:proofErr w:type="spellEnd"/>
      <w:r w:rsidRPr="00D26104">
        <w:rPr>
          <w:rFonts w:ascii="Simplified Arabic" w:eastAsia="Times New Roman" w:hAnsi="Simplified Arabic" w:cs="Simplified Arabic" w:hint="cs"/>
          <w:b/>
          <w:bCs/>
          <w:sz w:val="32"/>
          <w:szCs w:val="32"/>
          <w:rtl/>
        </w:rPr>
        <w:t xml:space="preserve"> الفقهي المعارض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ويقوم على حصر المسؤولية الجزائية بالشخص الطبيعي فقط، لان الشخص المعنوي ما هو الا افتراض، فلا يمكن أن يرتكب الركن المادي للجريمة، ولا يتوفر لديه الركن المعنوي للجريمة، وهي أحدى الركائز والمبادئ الراسخة في قانون العقوبات الحديث</w:t>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vertAlign w:val="superscript"/>
          <w:rtl/>
          <w:lang w:bidi="ar-IQ"/>
        </w:rPr>
        <w:footnoteReference w:id="6"/>
      </w:r>
      <w:r w:rsidRPr="00D26104">
        <w:rPr>
          <w:rFonts w:asciiTheme="minorBidi" w:eastAsia="Times New Roman" w:hAnsiTheme="minorBidi"/>
          <w:sz w:val="28"/>
          <w:szCs w:val="28"/>
          <w:vertAlign w:val="superscript"/>
          <w:rtl/>
          <w:lang w:bidi="ar-IQ"/>
        </w:rPr>
        <w:t>)</w:t>
      </w:r>
      <w:r w:rsidRPr="00D26104">
        <w:rPr>
          <w:rFonts w:asciiTheme="minorBidi" w:eastAsia="Times New Roman" w:hAnsiTheme="minorBidi"/>
          <w:sz w:val="28"/>
          <w:szCs w:val="28"/>
          <w:rtl/>
        </w:rPr>
        <w:t xml:space="preserve"> .</w:t>
      </w:r>
    </w:p>
    <w:p w:rsidR="00D26104" w:rsidRPr="00D26104" w:rsidRDefault="00D26104" w:rsidP="00D26104">
      <w:pPr>
        <w:spacing w:after="0" w:line="240" w:lineRule="auto"/>
        <w:ind w:firstLine="284"/>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ويستند أنصار هذا </w:t>
      </w:r>
      <w:proofErr w:type="spellStart"/>
      <w:r w:rsidRPr="00D26104">
        <w:rPr>
          <w:rFonts w:asciiTheme="minorBidi" w:eastAsia="Times New Roman" w:hAnsiTheme="minorBidi"/>
          <w:sz w:val="28"/>
          <w:szCs w:val="28"/>
          <w:rtl/>
        </w:rPr>
        <w:t>الإتجاه</w:t>
      </w:r>
      <w:proofErr w:type="spellEnd"/>
      <w:r w:rsidRPr="00D26104">
        <w:rPr>
          <w:rFonts w:asciiTheme="minorBidi" w:eastAsia="Times New Roman" w:hAnsiTheme="minorBidi"/>
          <w:sz w:val="28"/>
          <w:szCs w:val="28"/>
          <w:rtl/>
        </w:rPr>
        <w:t xml:space="preserve"> الفقهي في رفضهم للمسؤولية الجزائية للشخص المعنوي إلى عدة مسوغات أهمها ما يأتي : </w:t>
      </w:r>
    </w:p>
    <w:p w:rsidR="00D26104" w:rsidRPr="00D26104" w:rsidRDefault="00D26104" w:rsidP="00D26104">
      <w:pPr>
        <w:numPr>
          <w:ilvl w:val="0"/>
          <w:numId w:val="3"/>
        </w:numPr>
        <w:spacing w:after="0" w:line="240" w:lineRule="auto"/>
        <w:contextualSpacing/>
        <w:jc w:val="lowKashida"/>
        <w:rPr>
          <w:rFonts w:asciiTheme="minorBidi" w:eastAsia="Times New Roman" w:hAnsiTheme="minorBidi"/>
          <w:sz w:val="28"/>
          <w:szCs w:val="28"/>
          <w:rtl/>
        </w:rPr>
      </w:pPr>
      <w:r w:rsidRPr="00D26104">
        <w:rPr>
          <w:rFonts w:asciiTheme="minorBidi" w:eastAsia="Times New Roman" w:hAnsiTheme="minorBidi"/>
          <w:sz w:val="28"/>
          <w:szCs w:val="28"/>
          <w:rtl/>
        </w:rPr>
        <w:t>الإرادة : جوهر الركن المعنوي، وهي عنصر في كل جريمة، وهي بطبيعتها قوة بشرية، فإذا ما كان الشخص المعنوي محض خيال، لأنه مجرد من الإرادة، فلا محل لتصور ارتكابه جريمة، وإنما تستند الجريمة للشخص الطبيعي الذي أرتكبها لحساب الشخص المعنوي .</w:t>
      </w:r>
    </w:p>
    <w:p w:rsidR="00D26104" w:rsidRPr="00D26104" w:rsidRDefault="00D26104" w:rsidP="00D26104">
      <w:pPr>
        <w:numPr>
          <w:ilvl w:val="0"/>
          <w:numId w:val="3"/>
        </w:numPr>
        <w:spacing w:after="0" w:line="240" w:lineRule="auto"/>
        <w:contextualSpacing/>
        <w:jc w:val="lowKashida"/>
        <w:rPr>
          <w:rFonts w:asciiTheme="minorBidi" w:eastAsia="Times New Roman" w:hAnsiTheme="minorBidi"/>
          <w:sz w:val="28"/>
          <w:szCs w:val="28"/>
          <w:rtl/>
        </w:rPr>
      </w:pPr>
      <w:r w:rsidRPr="00D26104">
        <w:rPr>
          <w:rFonts w:asciiTheme="minorBidi" w:eastAsia="Times New Roman" w:hAnsiTheme="minorBidi"/>
          <w:sz w:val="28"/>
          <w:szCs w:val="28"/>
          <w:rtl/>
        </w:rPr>
        <w:t xml:space="preserve">الإسناد : فأنه يستحيل إسناد الجريمة إلى الشخص المعنوي الذي يحكمه مبدأ التخصص، كون وجوده محدد بالغرض الذي يستهدفه؛ فإن أرتكب جريمة معينة فقد </w:t>
      </w:r>
      <w:proofErr w:type="spellStart"/>
      <w:r w:rsidRPr="00D26104">
        <w:rPr>
          <w:rFonts w:asciiTheme="minorBidi" w:eastAsia="Times New Roman" w:hAnsiTheme="minorBidi"/>
          <w:sz w:val="28"/>
          <w:szCs w:val="28"/>
          <w:rtl/>
        </w:rPr>
        <w:t>إنحرف</w:t>
      </w:r>
      <w:proofErr w:type="spellEnd"/>
      <w:r w:rsidRPr="00D26104">
        <w:rPr>
          <w:rFonts w:asciiTheme="minorBidi" w:eastAsia="Times New Roman" w:hAnsiTheme="minorBidi"/>
          <w:sz w:val="28"/>
          <w:szCs w:val="28"/>
          <w:rtl/>
        </w:rPr>
        <w:t xml:space="preserve"> عن هذا الغرض ولم يعد له وجود قانوني . </w:t>
      </w:r>
    </w:p>
    <w:p w:rsidR="00D26104" w:rsidRPr="00D26104" w:rsidRDefault="00D26104" w:rsidP="00D26104">
      <w:pPr>
        <w:numPr>
          <w:ilvl w:val="0"/>
          <w:numId w:val="3"/>
        </w:numPr>
        <w:spacing w:after="0" w:line="240" w:lineRule="auto"/>
        <w:contextualSpacing/>
        <w:jc w:val="lowKashida"/>
        <w:rPr>
          <w:rFonts w:asciiTheme="minorBidi" w:eastAsia="Times New Roman" w:hAnsiTheme="minorBidi"/>
          <w:sz w:val="28"/>
          <w:szCs w:val="28"/>
        </w:rPr>
      </w:pPr>
      <w:r w:rsidRPr="00D26104">
        <w:rPr>
          <w:rFonts w:asciiTheme="minorBidi" w:eastAsia="Times New Roman" w:hAnsiTheme="minorBidi"/>
          <w:sz w:val="28"/>
          <w:szCs w:val="28"/>
          <w:rtl/>
        </w:rPr>
        <w:t xml:space="preserve">الإخلال مبدأ شخصية العقوبة : أن مؤدى هذا المبدأ عدم توقيع العقوبة على غير مرتكبها ولا يتحقق ذلك على غير الآدمي. </w:t>
      </w:r>
    </w:p>
    <w:p w:rsidR="00D26104" w:rsidRPr="00D26104" w:rsidRDefault="00D26104" w:rsidP="00D26104">
      <w:pPr>
        <w:numPr>
          <w:ilvl w:val="0"/>
          <w:numId w:val="3"/>
        </w:numPr>
        <w:spacing w:after="0" w:line="240" w:lineRule="auto"/>
        <w:contextualSpacing/>
        <w:jc w:val="lowKashida"/>
        <w:rPr>
          <w:rFonts w:asciiTheme="minorBidi" w:eastAsia="Times New Roman" w:hAnsiTheme="minorBidi"/>
          <w:b/>
          <w:bCs/>
          <w:sz w:val="32"/>
          <w:szCs w:val="32"/>
        </w:rPr>
      </w:pPr>
      <w:r w:rsidRPr="00D26104">
        <w:rPr>
          <w:rFonts w:asciiTheme="minorBidi" w:eastAsia="Times New Roman" w:hAnsiTheme="minorBidi"/>
          <w:sz w:val="28"/>
          <w:szCs w:val="28"/>
          <w:rtl/>
        </w:rPr>
        <w:lastRenderedPageBreak/>
        <w:t>أن هناك عقوبات يستحيل توقيعها على الشخص المعنوي، أن هذه العقوبات وضعت خصيصاً للإنسان كالإعدام والعقوبات السالبة للحرية، فضلاً عن أن أغراض العقوبة الخاصة بإصلاح الجاني وإعادة تكيفه مع المجتمع لا يمكن أن يتحقق إلا بالنسبة للشخص الطبيعي</w:t>
      </w:r>
    </w:p>
    <w:p w:rsidR="00D26104" w:rsidRPr="00D26104" w:rsidRDefault="00D26104" w:rsidP="00D26104">
      <w:pPr>
        <w:spacing w:after="0" w:line="240" w:lineRule="auto"/>
        <w:jc w:val="lowKashida"/>
        <w:rPr>
          <w:rFonts w:asciiTheme="minorBidi" w:eastAsia="Times New Roman" w:hAnsiTheme="minorBidi"/>
          <w:b/>
          <w:bCs/>
          <w:sz w:val="32"/>
          <w:szCs w:val="32"/>
          <w:rtl/>
        </w:rPr>
      </w:pPr>
    </w:p>
    <w:p w:rsidR="00D26104" w:rsidRPr="00D26104" w:rsidRDefault="00D26104" w:rsidP="00D26104">
      <w:pPr>
        <w:spacing w:after="0" w:line="240" w:lineRule="auto"/>
        <w:jc w:val="lowKashida"/>
        <w:rPr>
          <w:rFonts w:asciiTheme="minorBidi" w:eastAsia="Times New Roman" w:hAnsiTheme="minorBidi"/>
          <w:b/>
          <w:bCs/>
          <w:sz w:val="32"/>
          <w:szCs w:val="32"/>
          <w:rtl/>
        </w:rPr>
      </w:pP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36" w:rsidRDefault="00C53236" w:rsidP="006D374C">
      <w:pPr>
        <w:spacing w:after="0" w:line="240" w:lineRule="auto"/>
      </w:pPr>
      <w:r>
        <w:separator/>
      </w:r>
    </w:p>
  </w:endnote>
  <w:endnote w:type="continuationSeparator" w:id="0">
    <w:p w:rsidR="00C53236" w:rsidRDefault="00C53236"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MCS Jeddah S_U normal.">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36" w:rsidRDefault="00C53236" w:rsidP="006D374C">
      <w:pPr>
        <w:spacing w:after="0" w:line="240" w:lineRule="auto"/>
      </w:pPr>
      <w:r>
        <w:separator/>
      </w:r>
    </w:p>
  </w:footnote>
  <w:footnote w:type="continuationSeparator" w:id="0">
    <w:p w:rsidR="00C53236" w:rsidRDefault="00C53236" w:rsidP="006D374C">
      <w:pPr>
        <w:spacing w:after="0" w:line="240" w:lineRule="auto"/>
      </w:pPr>
      <w:r>
        <w:continuationSeparator/>
      </w:r>
    </w:p>
  </w:footnote>
  <w:footnote w:id="1">
    <w:p w:rsidR="00D26104" w:rsidRDefault="00D26104" w:rsidP="00D26104"/>
    <w:p w:rsidR="00D26104" w:rsidRPr="0065115F" w:rsidRDefault="00D26104" w:rsidP="00D26104">
      <w:pPr>
        <w:pStyle w:val="a4"/>
        <w:jc w:val="lowKashida"/>
        <w:rPr>
          <w:sz w:val="24"/>
          <w:rtl/>
        </w:rPr>
      </w:pPr>
    </w:p>
  </w:footnote>
  <w:footnote w:id="2">
    <w:p w:rsidR="00D26104" w:rsidRDefault="00D26104" w:rsidP="00D26104"/>
    <w:p w:rsidR="00D26104" w:rsidRPr="006732E0" w:rsidRDefault="00D26104" w:rsidP="00D26104">
      <w:pPr>
        <w:pStyle w:val="a4"/>
        <w:jc w:val="lowKashida"/>
        <w:rPr>
          <w:sz w:val="24"/>
          <w:rtl/>
        </w:rPr>
      </w:pPr>
    </w:p>
  </w:footnote>
  <w:footnote w:id="3">
    <w:p w:rsidR="00D26104" w:rsidRDefault="00D26104" w:rsidP="00D26104"/>
    <w:p w:rsidR="00D26104" w:rsidRPr="00AA4076" w:rsidRDefault="00D26104" w:rsidP="00D26104">
      <w:pPr>
        <w:pStyle w:val="a4"/>
        <w:jc w:val="lowKashida"/>
        <w:rPr>
          <w:sz w:val="24"/>
          <w:lang w:bidi="ar-IQ"/>
        </w:rPr>
      </w:pPr>
    </w:p>
  </w:footnote>
  <w:footnote w:id="4">
    <w:p w:rsidR="00D26104" w:rsidRDefault="00D26104" w:rsidP="00D26104"/>
    <w:p w:rsidR="00D26104" w:rsidRPr="009264F2" w:rsidRDefault="00D26104" w:rsidP="00D26104">
      <w:pPr>
        <w:pStyle w:val="a4"/>
        <w:rPr>
          <w:sz w:val="24"/>
          <w:rtl/>
          <w:lang w:bidi="ar-IQ"/>
        </w:rPr>
      </w:pPr>
    </w:p>
  </w:footnote>
  <w:footnote w:id="5">
    <w:p w:rsidR="00D26104" w:rsidRDefault="00D26104" w:rsidP="00D26104"/>
    <w:p w:rsidR="00D26104" w:rsidRPr="009264F2" w:rsidRDefault="00D26104" w:rsidP="00D26104">
      <w:pPr>
        <w:pStyle w:val="a4"/>
        <w:jc w:val="lowKashida"/>
        <w:rPr>
          <w:sz w:val="24"/>
          <w:rtl/>
        </w:rPr>
      </w:pPr>
    </w:p>
  </w:footnote>
  <w:footnote w:id="6">
    <w:p w:rsidR="00D26104" w:rsidRDefault="00D26104" w:rsidP="00D26104"/>
    <w:p w:rsidR="00D26104" w:rsidRPr="00801805" w:rsidRDefault="00D26104" w:rsidP="00D26104">
      <w:pPr>
        <w:pStyle w:val="a4"/>
        <w:jc w:val="lowKashida"/>
        <w:rPr>
          <w:sz w:val="24"/>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1854F3"/>
    <w:rsid w:val="003973ED"/>
    <w:rsid w:val="00417789"/>
    <w:rsid w:val="0044715D"/>
    <w:rsid w:val="006D374C"/>
    <w:rsid w:val="008841EE"/>
    <w:rsid w:val="009B0584"/>
    <w:rsid w:val="00A66F79"/>
    <w:rsid w:val="00B87747"/>
    <w:rsid w:val="00BD4FF6"/>
    <w:rsid w:val="00BD547E"/>
    <w:rsid w:val="00C20E54"/>
    <w:rsid w:val="00C53236"/>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6006</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2015-09-25T19:05:00Z</dcterms:created>
  <dcterms:modified xsi:type="dcterms:W3CDTF">2015-09-25T19:05:00Z</dcterms:modified>
</cp:coreProperties>
</file>