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ED" w:rsidRDefault="003973ED" w:rsidP="00417789">
      <w:pPr>
        <w:spacing w:after="0" w:line="240" w:lineRule="auto"/>
        <w:jc w:val="center"/>
        <w:rPr>
          <w:rFonts w:ascii="Arial" w:eastAsia="Times New Roman" w:hAnsi="Arial" w:cs="Simple Bold Jut Out" w:hint="cs"/>
          <w:sz w:val="36"/>
          <w:szCs w:val="36"/>
          <w:rtl/>
        </w:rPr>
      </w:pPr>
      <w:r>
        <w:rPr>
          <w:rFonts w:ascii="Arial" w:eastAsia="Times New Roman" w:hAnsi="Arial" w:cs="Simple Bold Jut Out" w:hint="cs"/>
          <w:sz w:val="36"/>
          <w:szCs w:val="36"/>
          <w:rtl/>
        </w:rPr>
        <w:t xml:space="preserve">المحاضرة </w:t>
      </w:r>
      <w:r w:rsidR="008841EE">
        <w:rPr>
          <w:rFonts w:ascii="Arial" w:eastAsia="Times New Roman" w:hAnsi="Arial" w:cs="Simple Bold Jut Out" w:hint="cs"/>
          <w:sz w:val="36"/>
          <w:szCs w:val="36"/>
          <w:rtl/>
        </w:rPr>
        <w:t>2</w:t>
      </w:r>
      <w:r w:rsidR="00417789">
        <w:rPr>
          <w:rFonts w:ascii="Arial" w:eastAsia="Times New Roman" w:hAnsi="Arial" w:cs="Simple Bold Jut Out" w:hint="cs"/>
          <w:sz w:val="36"/>
          <w:szCs w:val="36"/>
          <w:rtl/>
        </w:rPr>
        <w:t>1</w:t>
      </w:r>
    </w:p>
    <w:p w:rsidR="009B0584" w:rsidRPr="001119BE" w:rsidRDefault="009B0584" w:rsidP="009B0584">
      <w:pPr>
        <w:spacing w:after="0" w:line="120" w:lineRule="atLeast"/>
        <w:ind w:right="57"/>
        <w:jc w:val="center"/>
        <w:outlineLvl w:val="8"/>
        <w:rPr>
          <w:rFonts w:ascii="Arial" w:eastAsia="Times New Roman" w:hAnsi="Arial" w:cs="Arial"/>
          <w:b/>
          <w:bCs/>
          <w:sz w:val="36"/>
          <w:szCs w:val="36"/>
          <w:u w:val="single"/>
          <w:rtl/>
          <w:lang w:bidi="ar-IQ"/>
        </w:rPr>
      </w:pPr>
    </w:p>
    <w:p w:rsidR="008841EE" w:rsidRPr="008841EE" w:rsidRDefault="008841EE" w:rsidP="008841EE">
      <w:pPr>
        <w:spacing w:after="0" w:line="240" w:lineRule="auto"/>
        <w:rPr>
          <w:rFonts w:ascii="Times New Roman" w:eastAsia="Times New Roman" w:hAnsi="Times New Roman" w:cs="MCS Jeddah S_U normal."/>
          <w:b/>
          <w:bCs/>
          <w:sz w:val="20"/>
          <w:szCs w:val="36"/>
          <w:rtl/>
        </w:rPr>
      </w:pPr>
    </w:p>
    <w:p w:rsidR="00417789" w:rsidRPr="00417789" w:rsidRDefault="00417789" w:rsidP="00417789">
      <w:pPr>
        <w:spacing w:after="0" w:line="240" w:lineRule="auto"/>
        <w:jc w:val="center"/>
        <w:rPr>
          <w:rFonts w:ascii="Times New Roman" w:eastAsia="Times New Roman" w:hAnsi="Times New Roman" w:cs="PT Bold Heading"/>
          <w:sz w:val="40"/>
          <w:szCs w:val="40"/>
          <w:rtl/>
        </w:rPr>
      </w:pPr>
      <w:r w:rsidRPr="00417789">
        <w:rPr>
          <w:rFonts w:ascii="Times New Roman" w:eastAsia="Times New Roman" w:hAnsi="Times New Roman" w:cs="PT Bold Heading" w:hint="cs"/>
          <w:sz w:val="40"/>
          <w:szCs w:val="40"/>
          <w:rtl/>
        </w:rPr>
        <w:t>شروط المتهم</w:t>
      </w:r>
    </w:p>
    <w:p w:rsidR="00417789" w:rsidRPr="00417789" w:rsidRDefault="00417789" w:rsidP="00417789">
      <w:pPr>
        <w:spacing w:after="0" w:line="240" w:lineRule="auto"/>
        <w:ind w:firstLine="284"/>
        <w:jc w:val="lowKashida"/>
        <w:rPr>
          <w:rFonts w:ascii="Simplified Arabic" w:eastAsia="Times New Roman" w:hAnsi="Simplified Arabic" w:cs="Simplified Arabic"/>
          <w:sz w:val="28"/>
          <w:szCs w:val="28"/>
          <w:rtl/>
        </w:rPr>
      </w:pPr>
      <w:r w:rsidRPr="00417789">
        <w:rPr>
          <w:rFonts w:ascii="Simplified Arabic" w:eastAsia="Times New Roman" w:hAnsi="Simplified Arabic" w:cs="Simplified Arabic" w:hint="cs"/>
          <w:sz w:val="28"/>
          <w:szCs w:val="28"/>
          <w:rtl/>
        </w:rPr>
        <w:t xml:space="preserve">أن الموقف الذي </w:t>
      </w:r>
      <w:proofErr w:type="spellStart"/>
      <w:r w:rsidRPr="00417789">
        <w:rPr>
          <w:rFonts w:ascii="Simplified Arabic" w:eastAsia="Times New Roman" w:hAnsi="Simplified Arabic" w:cs="Simplified Arabic" w:hint="cs"/>
          <w:sz w:val="28"/>
          <w:szCs w:val="28"/>
          <w:rtl/>
        </w:rPr>
        <w:t>إتخذته</w:t>
      </w:r>
      <w:proofErr w:type="spellEnd"/>
      <w:r w:rsidRPr="00417789">
        <w:rPr>
          <w:rFonts w:ascii="Simplified Arabic" w:eastAsia="Times New Roman" w:hAnsi="Simplified Arabic" w:cs="Simplified Arabic" w:hint="cs"/>
          <w:sz w:val="28"/>
          <w:szCs w:val="28"/>
          <w:rtl/>
        </w:rPr>
        <w:t xml:space="preserve"> أغلب قوانين الإجراءات الجزائية في عدم بيان مفهوم للمتهم في صلب موادها القانونية هو ذاته الذي </w:t>
      </w:r>
      <w:proofErr w:type="spellStart"/>
      <w:r w:rsidRPr="00417789">
        <w:rPr>
          <w:rFonts w:ascii="Simplified Arabic" w:eastAsia="Times New Roman" w:hAnsi="Simplified Arabic" w:cs="Simplified Arabic" w:hint="cs"/>
          <w:sz w:val="28"/>
          <w:szCs w:val="28"/>
          <w:rtl/>
        </w:rPr>
        <w:t>إتخذته</w:t>
      </w:r>
      <w:proofErr w:type="spellEnd"/>
      <w:r w:rsidRPr="00417789">
        <w:rPr>
          <w:rFonts w:ascii="Simplified Arabic" w:eastAsia="Times New Roman" w:hAnsi="Simplified Arabic" w:cs="Simplified Arabic" w:hint="cs"/>
          <w:sz w:val="28"/>
          <w:szCs w:val="28"/>
          <w:rtl/>
        </w:rPr>
        <w:t xml:space="preserve"> في بيان الشروط الواجب توافرها في الشخص، لكي تخلع عليه صفة المتهم، فجاء الفقه القانوني كعادته معالجاً لتلك المواقف، فوضع الشروط الواجب توافرها في المتهم لكي يصبح طرفاً في الدعوى الجزائية، فقام بوضع شروط معينة؛ زاد البعض منها واقل اخرون، إلا إنهم جميعاً لم يخرجوا عن الشروط الأصلية للمتهم وهي:-</w:t>
      </w:r>
    </w:p>
    <w:p w:rsidR="00417789" w:rsidRPr="00417789" w:rsidRDefault="00417789" w:rsidP="00417789">
      <w:pPr>
        <w:spacing w:after="0" w:line="240" w:lineRule="auto"/>
        <w:ind w:firstLine="284"/>
        <w:jc w:val="lowKashida"/>
        <w:rPr>
          <w:rFonts w:ascii="Simplified Arabic" w:eastAsia="Times New Roman" w:hAnsi="Simplified Arabic" w:cs="Simplified Arabic"/>
          <w:b/>
          <w:bCs/>
          <w:sz w:val="28"/>
          <w:szCs w:val="28"/>
          <w:rtl/>
        </w:rPr>
      </w:pPr>
      <w:r w:rsidRPr="00417789">
        <w:rPr>
          <w:rFonts w:ascii="Simplified Arabic" w:eastAsia="Times New Roman" w:hAnsi="Simplified Arabic" w:cs="Simplified Arabic" w:hint="cs"/>
          <w:b/>
          <w:bCs/>
          <w:sz w:val="28"/>
          <w:szCs w:val="28"/>
          <w:rtl/>
        </w:rPr>
        <w:t xml:space="preserve">ألفرع الاول </w:t>
      </w:r>
      <w:r w:rsidRPr="00417789">
        <w:rPr>
          <w:rFonts w:ascii="Simplified Arabic" w:eastAsia="Times New Roman" w:hAnsi="Simplified Arabic" w:cs="Simplified Arabic"/>
          <w:b/>
          <w:bCs/>
          <w:sz w:val="28"/>
          <w:szCs w:val="28"/>
          <w:rtl/>
        </w:rPr>
        <w:t>–</w:t>
      </w:r>
      <w:r w:rsidRPr="00417789">
        <w:rPr>
          <w:rFonts w:ascii="Simplified Arabic" w:eastAsia="Times New Roman" w:hAnsi="Simplified Arabic" w:cs="Simplified Arabic" w:hint="cs"/>
          <w:b/>
          <w:bCs/>
          <w:sz w:val="28"/>
          <w:szCs w:val="28"/>
          <w:rtl/>
        </w:rPr>
        <w:t xml:space="preserve">  الأهلية الإجرائية.</w:t>
      </w:r>
    </w:p>
    <w:p w:rsidR="00417789" w:rsidRPr="00417789" w:rsidRDefault="00417789" w:rsidP="00417789">
      <w:pPr>
        <w:spacing w:after="0" w:line="240" w:lineRule="auto"/>
        <w:ind w:firstLine="284"/>
        <w:jc w:val="lowKashida"/>
        <w:rPr>
          <w:rFonts w:ascii="Simplified Arabic" w:eastAsia="Times New Roman" w:hAnsi="Simplified Arabic" w:cs="Simplified Arabic"/>
          <w:b/>
          <w:bCs/>
          <w:sz w:val="28"/>
          <w:szCs w:val="28"/>
          <w:rtl/>
        </w:rPr>
      </w:pPr>
      <w:r w:rsidRPr="00417789">
        <w:rPr>
          <w:rFonts w:ascii="Simplified Arabic" w:eastAsia="Times New Roman" w:hAnsi="Simplified Arabic" w:cs="Simplified Arabic" w:hint="cs"/>
          <w:b/>
          <w:bCs/>
          <w:sz w:val="28"/>
          <w:szCs w:val="28"/>
          <w:rtl/>
        </w:rPr>
        <w:t>الفرع الثاني - التعيين .</w:t>
      </w:r>
    </w:p>
    <w:p w:rsidR="00417789" w:rsidRPr="00417789" w:rsidRDefault="00417789" w:rsidP="00417789">
      <w:pPr>
        <w:spacing w:after="0" w:line="240" w:lineRule="auto"/>
        <w:ind w:firstLine="284"/>
        <w:jc w:val="lowKashida"/>
        <w:rPr>
          <w:rFonts w:ascii="Simplified Arabic" w:eastAsia="Times New Roman" w:hAnsi="Simplified Arabic" w:cs="Simplified Arabic"/>
          <w:b/>
          <w:bCs/>
          <w:sz w:val="28"/>
          <w:szCs w:val="28"/>
          <w:rtl/>
        </w:rPr>
      </w:pPr>
      <w:r w:rsidRPr="00417789">
        <w:rPr>
          <w:rFonts w:ascii="Simplified Arabic" w:eastAsia="Times New Roman" w:hAnsi="Simplified Arabic" w:cs="Simplified Arabic" w:hint="cs"/>
          <w:b/>
          <w:bCs/>
          <w:sz w:val="28"/>
          <w:szCs w:val="28"/>
          <w:rtl/>
        </w:rPr>
        <w:t xml:space="preserve">الفرع الثالث </w:t>
      </w:r>
      <w:r w:rsidRPr="00417789">
        <w:rPr>
          <w:rFonts w:ascii="Simplified Arabic" w:eastAsia="Times New Roman" w:hAnsi="Simplified Arabic" w:cs="Simplified Arabic"/>
          <w:b/>
          <w:bCs/>
          <w:sz w:val="28"/>
          <w:szCs w:val="28"/>
          <w:rtl/>
        </w:rPr>
        <w:t>–</w:t>
      </w:r>
      <w:r w:rsidRPr="00417789">
        <w:rPr>
          <w:rFonts w:ascii="Simplified Arabic" w:eastAsia="Times New Roman" w:hAnsi="Simplified Arabic" w:cs="Simplified Arabic" w:hint="cs"/>
          <w:b/>
          <w:bCs/>
          <w:sz w:val="28"/>
          <w:szCs w:val="28"/>
          <w:rtl/>
        </w:rPr>
        <w:t xml:space="preserve"> نسبة </w:t>
      </w:r>
      <w:proofErr w:type="spellStart"/>
      <w:r w:rsidRPr="00417789">
        <w:rPr>
          <w:rFonts w:ascii="Simplified Arabic" w:eastAsia="Times New Roman" w:hAnsi="Simplified Arabic" w:cs="Simplified Arabic" w:hint="cs"/>
          <w:b/>
          <w:bCs/>
          <w:sz w:val="28"/>
          <w:szCs w:val="28"/>
          <w:rtl/>
        </w:rPr>
        <w:t>أرتكاب</w:t>
      </w:r>
      <w:proofErr w:type="spellEnd"/>
      <w:r w:rsidRPr="00417789">
        <w:rPr>
          <w:rFonts w:ascii="Simplified Arabic" w:eastAsia="Times New Roman" w:hAnsi="Simplified Arabic" w:cs="Simplified Arabic" w:hint="cs"/>
          <w:b/>
          <w:bCs/>
          <w:sz w:val="28"/>
          <w:szCs w:val="28"/>
          <w:rtl/>
        </w:rPr>
        <w:t xml:space="preserve"> الجريمة اليه أو المساهمة فيها .</w:t>
      </w:r>
    </w:p>
    <w:p w:rsidR="00417789" w:rsidRPr="00417789" w:rsidRDefault="00417789" w:rsidP="00417789">
      <w:pPr>
        <w:spacing w:after="0" w:line="240" w:lineRule="auto"/>
        <w:jc w:val="lowKashida"/>
        <w:rPr>
          <w:rFonts w:ascii="Simplified Arabic" w:eastAsia="Times New Roman" w:hAnsi="Simplified Arabic" w:cs="Simplified Arabic"/>
          <w:b/>
          <w:bCs/>
          <w:sz w:val="28"/>
          <w:szCs w:val="28"/>
          <w:rtl/>
        </w:rPr>
      </w:pPr>
    </w:p>
    <w:p w:rsidR="00417789" w:rsidRPr="00417789" w:rsidRDefault="00417789" w:rsidP="00417789">
      <w:pPr>
        <w:spacing w:after="0" w:line="240" w:lineRule="auto"/>
        <w:ind w:firstLine="284"/>
        <w:jc w:val="center"/>
        <w:rPr>
          <w:rFonts w:ascii="Simplified Arabic" w:eastAsia="Times New Roman" w:hAnsi="Simplified Arabic" w:cs="PT Bold Heading"/>
          <w:b/>
          <w:bCs/>
          <w:sz w:val="36"/>
          <w:szCs w:val="36"/>
          <w:rtl/>
        </w:rPr>
      </w:pPr>
      <w:r w:rsidRPr="00417789">
        <w:rPr>
          <w:rFonts w:ascii="Simplified Arabic" w:eastAsia="Times New Roman" w:hAnsi="Simplified Arabic" w:cs="PT Bold Heading" w:hint="cs"/>
          <w:b/>
          <w:bCs/>
          <w:sz w:val="36"/>
          <w:szCs w:val="36"/>
          <w:rtl/>
        </w:rPr>
        <w:t>الفرع الاول</w:t>
      </w:r>
    </w:p>
    <w:p w:rsidR="00417789" w:rsidRPr="00417789" w:rsidRDefault="00417789" w:rsidP="00417789">
      <w:pPr>
        <w:spacing w:after="0" w:line="240" w:lineRule="auto"/>
        <w:ind w:firstLine="284"/>
        <w:jc w:val="center"/>
        <w:rPr>
          <w:rFonts w:ascii="Simplified Arabic" w:eastAsia="Times New Roman" w:hAnsi="Simplified Arabic" w:cs="PT Bold Heading"/>
          <w:b/>
          <w:bCs/>
          <w:sz w:val="36"/>
          <w:szCs w:val="36"/>
          <w:rtl/>
        </w:rPr>
      </w:pPr>
      <w:r w:rsidRPr="00417789">
        <w:rPr>
          <w:rFonts w:ascii="Simplified Arabic" w:eastAsia="Times New Roman" w:hAnsi="Simplified Arabic" w:cs="PT Bold Heading" w:hint="cs"/>
          <w:b/>
          <w:bCs/>
          <w:sz w:val="36"/>
          <w:szCs w:val="36"/>
          <w:rtl/>
        </w:rPr>
        <w:t>الأهلية الإجرائية</w:t>
      </w:r>
    </w:p>
    <w:p w:rsidR="00417789" w:rsidRPr="00417789" w:rsidRDefault="00417789" w:rsidP="00417789">
      <w:pPr>
        <w:keepNext/>
        <w:widowControl w:val="0"/>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من أول وأهم الشروط التي يجب توافرها في المتهم الأهلية الإجرائية، ويقصد بها " جواز رفع الدعوى الجزائية على الشخص ومساءلته جزائياً عن الجريمة المنسوبة إليه ".</w:t>
      </w:r>
    </w:p>
    <w:p w:rsidR="00417789" w:rsidRPr="00417789" w:rsidRDefault="00417789" w:rsidP="00417789">
      <w:pPr>
        <w:spacing w:after="0" w:line="240" w:lineRule="auto"/>
        <w:ind w:firstLine="284"/>
        <w:jc w:val="lowKashida"/>
        <w:rPr>
          <w:rFonts w:asciiTheme="minorBidi" w:eastAsia="Times New Roman" w:hAnsiTheme="minorBidi"/>
          <w:sz w:val="28"/>
          <w:szCs w:val="28"/>
          <w:rtl/>
          <w:lang w:bidi="ar-IQ"/>
        </w:rPr>
      </w:pPr>
      <w:r w:rsidRPr="00417789">
        <w:rPr>
          <w:rFonts w:asciiTheme="minorBidi" w:eastAsia="Times New Roman" w:hAnsiTheme="minorBidi"/>
          <w:sz w:val="28"/>
          <w:szCs w:val="28"/>
          <w:rtl/>
        </w:rPr>
        <w:t>ويقصد بها أيضاً " أهلية الشخص لمباشرة نوع من الإجراءات على نحو يجعل هذا الإجراء صحيحاً ويتبع أثاره القانونية ".</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 xml:space="preserve">فالأهلية الإجرائية تختلف عن أهلية المسؤولية الجزائية أو ما تسمى بالأهلية الجزائية التي كثيراً ما يخلط بينهما، إذ أن من أهم شروط المتهم هو إن يكون متمتعاً بالأهلية الإجرائية وليس بالأهلية الجزائية، إذ أن " الأهلية الجزائية " هي الأساس لمسألة الشخص جزائياً ويقصد بها مجموعة العوامل النفسية اللازم توافرها في الشخص لكي يمكن نسبة الواقعة إليه بوصفه فاعلها عن إدراك وإرادة، وهي شرط من شروط المسؤولية الجزائية، إذ إن </w:t>
      </w:r>
      <w:proofErr w:type="spellStart"/>
      <w:r w:rsidRPr="00417789">
        <w:rPr>
          <w:rFonts w:asciiTheme="minorBidi" w:eastAsia="Times New Roman" w:hAnsiTheme="minorBidi"/>
          <w:sz w:val="28"/>
          <w:szCs w:val="28"/>
          <w:rtl/>
        </w:rPr>
        <w:t>إنعدامها</w:t>
      </w:r>
      <w:proofErr w:type="spellEnd"/>
      <w:r w:rsidRPr="00417789">
        <w:rPr>
          <w:rFonts w:asciiTheme="minorBidi" w:eastAsia="Times New Roman" w:hAnsiTheme="minorBidi"/>
          <w:sz w:val="28"/>
          <w:szCs w:val="28"/>
          <w:rtl/>
        </w:rPr>
        <w:t xml:space="preserve"> يرتب </w:t>
      </w:r>
      <w:proofErr w:type="spellStart"/>
      <w:r w:rsidRPr="00417789">
        <w:rPr>
          <w:rFonts w:asciiTheme="minorBidi" w:eastAsia="Times New Roman" w:hAnsiTheme="minorBidi"/>
          <w:sz w:val="28"/>
          <w:szCs w:val="28"/>
          <w:rtl/>
        </w:rPr>
        <w:t>إنعدام</w:t>
      </w:r>
      <w:proofErr w:type="spellEnd"/>
      <w:r w:rsidRPr="00417789">
        <w:rPr>
          <w:rFonts w:asciiTheme="minorBidi" w:eastAsia="Times New Roman" w:hAnsiTheme="minorBidi"/>
          <w:sz w:val="28"/>
          <w:szCs w:val="28"/>
          <w:rtl/>
        </w:rPr>
        <w:t xml:space="preserve"> المسؤولية الجزائية، إلا إن وجودها لا يعني بضرورة قيام المسؤولية الجزائية، كما في حالة الإكراه المادي، إذ تنتفي المسؤولية الجزائية لعدم توافر </w:t>
      </w:r>
      <w:proofErr w:type="spellStart"/>
      <w:r w:rsidRPr="00417789">
        <w:rPr>
          <w:rFonts w:asciiTheme="minorBidi" w:eastAsia="Times New Roman" w:hAnsiTheme="minorBidi"/>
          <w:sz w:val="28"/>
          <w:szCs w:val="28"/>
          <w:rtl/>
        </w:rPr>
        <w:t>الأختيار</w:t>
      </w:r>
      <w:proofErr w:type="spellEnd"/>
      <w:r w:rsidRPr="00417789">
        <w:rPr>
          <w:rFonts w:asciiTheme="minorBidi" w:eastAsia="Times New Roman" w:hAnsiTheme="minorBidi"/>
          <w:sz w:val="28"/>
          <w:szCs w:val="28"/>
          <w:rtl/>
        </w:rPr>
        <w:t xml:space="preserve">( الإسناد المعنوي )، بينما تبقى الأهلية الجزائية قائمة . </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 xml:space="preserve">كما إن الأصل العام هو أن قيام المسؤولية الجنائية تعني بالضرورة توافر الأهلية الإجرائية إلا إن هذه القاعدة غير مطلقة، إذ يمكن إن يكون المتهم أهلاً جزائياً وإجرائياً وقت </w:t>
      </w:r>
      <w:proofErr w:type="spellStart"/>
      <w:r w:rsidRPr="00417789">
        <w:rPr>
          <w:rFonts w:asciiTheme="minorBidi" w:eastAsia="Times New Roman" w:hAnsiTheme="minorBidi"/>
          <w:sz w:val="28"/>
          <w:szCs w:val="28"/>
          <w:rtl/>
        </w:rPr>
        <w:t>أرتكاب</w:t>
      </w:r>
      <w:proofErr w:type="spellEnd"/>
      <w:r w:rsidRPr="00417789">
        <w:rPr>
          <w:rFonts w:asciiTheme="minorBidi" w:eastAsia="Times New Roman" w:hAnsiTheme="minorBidi"/>
          <w:sz w:val="28"/>
          <w:szCs w:val="28"/>
          <w:rtl/>
        </w:rPr>
        <w:t xml:space="preserve"> الجريمة؛ ثم يصاب بجنون لاحق فيفقد أهليته الإجرائية . </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 xml:space="preserve">كما إن عدم قيام المسؤولية الجزائية لا يحول دون مباشرة الدعوى الجزائية، إذ تصح الدعوى الجزائية المقامة ضد من أرتكب الجريمة وهو في حالة سكر </w:t>
      </w:r>
      <w:r w:rsidRPr="00417789">
        <w:rPr>
          <w:rFonts w:asciiTheme="minorBidi" w:eastAsia="Times New Roman" w:hAnsiTheme="minorBidi" w:hint="cs"/>
          <w:sz w:val="28"/>
          <w:szCs w:val="28"/>
          <w:rtl/>
        </w:rPr>
        <w:t>اضطراري</w:t>
      </w:r>
      <w:r w:rsidRPr="00417789">
        <w:rPr>
          <w:rFonts w:asciiTheme="minorBidi" w:eastAsia="Times New Roman" w:hAnsiTheme="minorBidi"/>
          <w:sz w:val="28"/>
          <w:szCs w:val="28"/>
          <w:rtl/>
        </w:rPr>
        <w:t xml:space="preserve">، إلا إن </w:t>
      </w:r>
      <w:proofErr w:type="spellStart"/>
      <w:r w:rsidRPr="00417789">
        <w:rPr>
          <w:rFonts w:asciiTheme="minorBidi" w:eastAsia="Times New Roman" w:hAnsiTheme="minorBidi"/>
          <w:sz w:val="28"/>
          <w:szCs w:val="28"/>
          <w:rtl/>
        </w:rPr>
        <w:t>إنعدام</w:t>
      </w:r>
      <w:proofErr w:type="spellEnd"/>
      <w:r w:rsidRPr="00417789">
        <w:rPr>
          <w:rFonts w:asciiTheme="minorBidi" w:eastAsia="Times New Roman" w:hAnsiTheme="minorBidi"/>
          <w:sz w:val="28"/>
          <w:szCs w:val="28"/>
          <w:rtl/>
        </w:rPr>
        <w:t xml:space="preserve"> </w:t>
      </w:r>
      <w:r w:rsidRPr="00417789">
        <w:rPr>
          <w:rFonts w:asciiTheme="minorBidi" w:eastAsia="Times New Roman" w:hAnsiTheme="minorBidi"/>
          <w:sz w:val="28"/>
          <w:szCs w:val="28"/>
          <w:rtl/>
        </w:rPr>
        <w:lastRenderedPageBreak/>
        <w:t>الأهلية الإجرائية كما في الحدث يمنع من رفع الدعوى في مواجهته وفي مواجهة من يمثله        قانوناً</w:t>
      </w:r>
      <w:r w:rsidRPr="00417789">
        <w:rPr>
          <w:rFonts w:asciiTheme="minorBidi" w:eastAsia="Times New Roman" w:hAnsiTheme="minorBidi"/>
          <w:sz w:val="28"/>
          <w:szCs w:val="28"/>
          <w:vertAlign w:val="superscript"/>
          <w:rtl/>
          <w:lang w:bidi="ar-IQ"/>
        </w:rPr>
        <w:t>(</w:t>
      </w:r>
      <w:r w:rsidRPr="00417789">
        <w:rPr>
          <w:rFonts w:asciiTheme="minorBidi" w:eastAsia="Times New Roman" w:hAnsiTheme="minorBidi"/>
          <w:sz w:val="28"/>
          <w:szCs w:val="28"/>
          <w:vertAlign w:val="superscript"/>
          <w:rtl/>
          <w:lang w:bidi="ar-IQ"/>
        </w:rPr>
        <w:footnoteReference w:id="1"/>
      </w:r>
      <w:r w:rsidRPr="00417789">
        <w:rPr>
          <w:rFonts w:asciiTheme="minorBidi" w:eastAsia="Times New Roman" w:hAnsiTheme="minorBidi"/>
          <w:sz w:val="28"/>
          <w:szCs w:val="28"/>
          <w:vertAlign w:val="superscript"/>
          <w:rtl/>
          <w:lang w:bidi="ar-IQ"/>
        </w:rPr>
        <w:t>)</w:t>
      </w:r>
      <w:r w:rsidRPr="00417789">
        <w:rPr>
          <w:rFonts w:asciiTheme="minorBidi" w:eastAsia="Times New Roman" w:hAnsiTheme="minorBidi"/>
          <w:sz w:val="28"/>
          <w:szCs w:val="28"/>
          <w:rtl/>
        </w:rPr>
        <w:t xml:space="preserve"> .</w:t>
      </w:r>
    </w:p>
    <w:p w:rsidR="00417789" w:rsidRPr="00417789" w:rsidRDefault="00417789" w:rsidP="00417789">
      <w:pPr>
        <w:widowControl w:val="0"/>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فعلى ذلك إن الأهلية الإجرائية للمتهم يقصد بها " إن يتمتع المتهم بكافة الملكات الذهنية الكاملة التي تؤهله أوجه الدفاع عن نفسه على الوجه الأكمل "</w:t>
      </w:r>
      <w:r w:rsidRPr="00417789">
        <w:rPr>
          <w:rFonts w:asciiTheme="minorBidi" w:eastAsia="Times New Roman" w:hAnsiTheme="minorBidi"/>
          <w:sz w:val="28"/>
          <w:szCs w:val="28"/>
          <w:vertAlign w:val="superscript"/>
          <w:rtl/>
          <w:lang w:bidi="ar-IQ"/>
        </w:rPr>
        <w:t>(</w:t>
      </w:r>
      <w:r w:rsidRPr="00417789">
        <w:rPr>
          <w:rFonts w:asciiTheme="minorBidi" w:eastAsia="Times New Roman" w:hAnsiTheme="minorBidi"/>
          <w:sz w:val="28"/>
          <w:szCs w:val="28"/>
          <w:vertAlign w:val="superscript"/>
          <w:rtl/>
          <w:lang w:bidi="ar-IQ"/>
        </w:rPr>
        <w:footnoteReference w:id="2"/>
      </w:r>
      <w:r w:rsidRPr="00417789">
        <w:rPr>
          <w:rFonts w:asciiTheme="minorBidi" w:eastAsia="Times New Roman" w:hAnsiTheme="minorBidi"/>
          <w:sz w:val="28"/>
          <w:szCs w:val="28"/>
          <w:vertAlign w:val="superscript"/>
          <w:rtl/>
          <w:lang w:bidi="ar-IQ"/>
        </w:rPr>
        <w:t>)</w:t>
      </w:r>
      <w:r w:rsidRPr="00417789">
        <w:rPr>
          <w:rFonts w:asciiTheme="minorBidi" w:eastAsia="Times New Roman" w:hAnsiTheme="minorBidi"/>
          <w:sz w:val="28"/>
          <w:szCs w:val="28"/>
          <w:rtl/>
        </w:rPr>
        <w:t xml:space="preserve"> .</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ويقصد بها ايضاً صلاحيته لوصفه مدعى عليه في الدعوى الجزائية، أي طرفاً في العلاقة الإجرائية التي تتكون منها الخصومة الجزائية، ويشترط لتوافر الأهلية الإجرائية في الشخص ثلاثة شروط :-</w:t>
      </w:r>
    </w:p>
    <w:p w:rsidR="00417789" w:rsidRPr="00417789" w:rsidRDefault="00417789" w:rsidP="00417789">
      <w:pPr>
        <w:spacing w:after="0" w:line="240" w:lineRule="auto"/>
        <w:ind w:firstLine="284"/>
        <w:jc w:val="lowKashida"/>
        <w:rPr>
          <w:rFonts w:asciiTheme="minorBidi" w:eastAsia="Times New Roman" w:hAnsiTheme="minorBidi"/>
          <w:b/>
          <w:bCs/>
          <w:sz w:val="28"/>
          <w:szCs w:val="28"/>
          <w:rtl/>
        </w:rPr>
      </w:pPr>
      <w:r w:rsidRPr="00417789">
        <w:rPr>
          <w:rFonts w:asciiTheme="minorBidi" w:eastAsia="Times New Roman" w:hAnsiTheme="minorBidi" w:hint="cs"/>
          <w:b/>
          <w:bCs/>
          <w:sz w:val="28"/>
          <w:szCs w:val="28"/>
          <w:rtl/>
        </w:rPr>
        <w:t xml:space="preserve">أولاً- </w:t>
      </w:r>
      <w:r w:rsidRPr="00417789">
        <w:rPr>
          <w:rFonts w:asciiTheme="minorBidi" w:eastAsia="Times New Roman" w:hAnsiTheme="minorBidi"/>
          <w:b/>
          <w:bCs/>
          <w:sz w:val="28"/>
          <w:szCs w:val="28"/>
          <w:rtl/>
        </w:rPr>
        <w:t xml:space="preserve"> شخصاً قانونياً موجوداً .</w:t>
      </w:r>
    </w:p>
    <w:p w:rsidR="00417789" w:rsidRPr="00417789" w:rsidRDefault="00417789" w:rsidP="00417789">
      <w:pPr>
        <w:spacing w:after="0" w:line="240" w:lineRule="auto"/>
        <w:ind w:firstLine="284"/>
        <w:jc w:val="lowKashida"/>
        <w:rPr>
          <w:rFonts w:asciiTheme="minorBidi" w:eastAsia="Times New Roman" w:hAnsiTheme="minorBidi"/>
          <w:b/>
          <w:bCs/>
          <w:sz w:val="28"/>
          <w:szCs w:val="28"/>
          <w:rtl/>
        </w:rPr>
      </w:pPr>
      <w:r w:rsidRPr="00417789">
        <w:rPr>
          <w:rFonts w:asciiTheme="minorBidi" w:eastAsia="Times New Roman" w:hAnsiTheme="minorBidi" w:hint="cs"/>
          <w:b/>
          <w:bCs/>
          <w:sz w:val="28"/>
          <w:szCs w:val="28"/>
          <w:rtl/>
        </w:rPr>
        <w:t>ثانياً-</w:t>
      </w:r>
      <w:r w:rsidRPr="00417789">
        <w:rPr>
          <w:rFonts w:asciiTheme="minorBidi" w:eastAsia="Times New Roman" w:hAnsiTheme="minorBidi"/>
          <w:b/>
          <w:bCs/>
          <w:sz w:val="28"/>
          <w:szCs w:val="28"/>
          <w:rtl/>
        </w:rPr>
        <w:t xml:space="preserve"> </w:t>
      </w:r>
      <w:r w:rsidRPr="00417789">
        <w:rPr>
          <w:rFonts w:asciiTheme="minorBidi" w:eastAsia="Times New Roman" w:hAnsiTheme="minorBidi" w:hint="cs"/>
          <w:b/>
          <w:bCs/>
          <w:sz w:val="28"/>
          <w:szCs w:val="28"/>
          <w:rtl/>
        </w:rPr>
        <w:t>الخضوع</w:t>
      </w:r>
      <w:r w:rsidRPr="00417789">
        <w:rPr>
          <w:rFonts w:asciiTheme="minorBidi" w:eastAsia="Times New Roman" w:hAnsiTheme="minorBidi"/>
          <w:b/>
          <w:bCs/>
          <w:sz w:val="28"/>
          <w:szCs w:val="28"/>
          <w:rtl/>
        </w:rPr>
        <w:t xml:space="preserve"> للقضاء الوطني .</w:t>
      </w:r>
    </w:p>
    <w:p w:rsidR="00417789" w:rsidRPr="00417789" w:rsidRDefault="00417789" w:rsidP="00417789">
      <w:pPr>
        <w:spacing w:after="0" w:line="240" w:lineRule="auto"/>
        <w:ind w:firstLine="284"/>
        <w:jc w:val="lowKashida"/>
        <w:rPr>
          <w:rFonts w:asciiTheme="minorBidi" w:eastAsia="Times New Roman" w:hAnsiTheme="minorBidi"/>
          <w:b/>
          <w:bCs/>
          <w:sz w:val="28"/>
          <w:szCs w:val="28"/>
          <w:rtl/>
        </w:rPr>
      </w:pPr>
      <w:r w:rsidRPr="00417789">
        <w:rPr>
          <w:rFonts w:asciiTheme="minorBidi" w:eastAsia="Times New Roman" w:hAnsiTheme="minorBidi" w:hint="cs"/>
          <w:b/>
          <w:bCs/>
          <w:sz w:val="28"/>
          <w:szCs w:val="28"/>
          <w:rtl/>
        </w:rPr>
        <w:t>ثالثاً-</w:t>
      </w:r>
      <w:r w:rsidRPr="00417789">
        <w:rPr>
          <w:rFonts w:asciiTheme="minorBidi" w:eastAsia="Times New Roman" w:hAnsiTheme="minorBidi"/>
          <w:b/>
          <w:bCs/>
          <w:sz w:val="28"/>
          <w:szCs w:val="28"/>
          <w:rtl/>
        </w:rPr>
        <w:t xml:space="preserve"> متمتعاً </w:t>
      </w:r>
      <w:r w:rsidRPr="00417789">
        <w:rPr>
          <w:rFonts w:asciiTheme="minorBidi" w:eastAsia="Times New Roman" w:hAnsiTheme="minorBidi" w:hint="cs"/>
          <w:b/>
          <w:bCs/>
          <w:sz w:val="28"/>
          <w:szCs w:val="28"/>
          <w:rtl/>
        </w:rPr>
        <w:t>بالإدراك</w:t>
      </w:r>
      <w:r w:rsidRPr="00417789">
        <w:rPr>
          <w:rFonts w:asciiTheme="minorBidi" w:eastAsia="Times New Roman" w:hAnsiTheme="minorBidi"/>
          <w:b/>
          <w:bCs/>
          <w:sz w:val="28"/>
          <w:szCs w:val="28"/>
          <w:rtl/>
        </w:rPr>
        <w:t xml:space="preserve"> والشعو</w:t>
      </w:r>
      <w:r w:rsidRPr="00417789">
        <w:rPr>
          <w:rFonts w:asciiTheme="minorBidi" w:eastAsia="Times New Roman" w:hAnsiTheme="minorBidi" w:hint="cs"/>
          <w:b/>
          <w:bCs/>
          <w:sz w:val="28"/>
          <w:szCs w:val="28"/>
          <w:rtl/>
        </w:rPr>
        <w:t>ر.</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p>
    <w:p w:rsidR="00417789" w:rsidRPr="00417789" w:rsidRDefault="00417789" w:rsidP="00417789">
      <w:pPr>
        <w:spacing w:after="0" w:line="240" w:lineRule="auto"/>
        <w:ind w:firstLine="284"/>
        <w:jc w:val="lowKashida"/>
        <w:rPr>
          <w:rFonts w:asciiTheme="minorBidi" w:eastAsia="Times New Roman" w:hAnsiTheme="minorBidi"/>
          <w:b/>
          <w:bCs/>
          <w:sz w:val="28"/>
          <w:szCs w:val="28"/>
          <w:rtl/>
        </w:rPr>
      </w:pPr>
      <w:r w:rsidRPr="00417789">
        <w:rPr>
          <w:rFonts w:asciiTheme="minorBidi" w:eastAsia="Times New Roman" w:hAnsiTheme="minorBidi"/>
          <w:b/>
          <w:bCs/>
          <w:sz w:val="28"/>
          <w:szCs w:val="28"/>
          <w:rtl/>
        </w:rPr>
        <w:t xml:space="preserve">أولاً- شخصاً قانونياً موجوداً : </w:t>
      </w:r>
    </w:p>
    <w:p w:rsidR="00417789" w:rsidRPr="00417789" w:rsidRDefault="00417789" w:rsidP="00417789">
      <w:pPr>
        <w:spacing w:after="0" w:line="240" w:lineRule="auto"/>
        <w:ind w:firstLine="284"/>
        <w:jc w:val="lowKashida"/>
        <w:rPr>
          <w:rFonts w:asciiTheme="minorBidi" w:eastAsia="Times New Roman" w:hAnsiTheme="minorBidi"/>
          <w:b/>
          <w:bCs/>
          <w:sz w:val="28"/>
          <w:szCs w:val="28"/>
          <w:rtl/>
        </w:rPr>
      </w:pP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الشخص لغة : هو الإنسان أو الفرد، أي أن الإنسان هو الشخص وذلك في غير المجال القانوني، إما قانوناً : هو كل كائن يتمتع بالشخصية القانونية، والشخصية القانونية هي الصلاحية لاكتساب الحقوق وتحمل الالتزامات .</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 xml:space="preserve">ولا يشترط لثبوت وصف الشخص لكائن معين إن تتوافر له الصلاحية لكسب جميع الحقوق، </w:t>
      </w:r>
      <w:r w:rsidRPr="00417789">
        <w:rPr>
          <w:rFonts w:asciiTheme="minorBidi" w:eastAsia="Times New Roman" w:hAnsiTheme="minorBidi" w:hint="cs"/>
          <w:sz w:val="28"/>
          <w:szCs w:val="28"/>
          <w:rtl/>
        </w:rPr>
        <w:t>والالتزامات</w:t>
      </w:r>
      <w:r w:rsidRPr="00417789">
        <w:rPr>
          <w:rFonts w:asciiTheme="minorBidi" w:eastAsia="Times New Roman" w:hAnsiTheme="minorBidi"/>
          <w:sz w:val="28"/>
          <w:szCs w:val="28"/>
          <w:rtl/>
        </w:rPr>
        <w:t xml:space="preserve"> بجميع الواجبات، بل يكفي لذلك إن تتوافر الصلاحية لكسب حق واحد.</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r w:rsidRPr="00417789">
        <w:rPr>
          <w:rFonts w:asciiTheme="minorBidi" w:eastAsia="Times New Roman" w:hAnsiTheme="minorBidi"/>
          <w:sz w:val="28"/>
          <w:szCs w:val="28"/>
          <w:rtl/>
        </w:rPr>
        <w:t xml:space="preserve">والأصل في الشخص إن يكون إنساناً وهو ما يسمى بالشخص الطبيعي الذي تثبت له الشخصية القانونية من وقت ولادته وتلازمه إلى حين وفاته، إلا أن الشخصية القانونية لم تعد قاصرة على بني الإنسان، فقد أدت الحاجات </w:t>
      </w:r>
      <w:r w:rsidRPr="00417789">
        <w:rPr>
          <w:rFonts w:asciiTheme="minorBidi" w:eastAsia="Times New Roman" w:hAnsiTheme="minorBidi" w:hint="cs"/>
          <w:sz w:val="28"/>
          <w:szCs w:val="28"/>
          <w:rtl/>
        </w:rPr>
        <w:t>الاقتصادية</w:t>
      </w:r>
      <w:r w:rsidRPr="00417789">
        <w:rPr>
          <w:rFonts w:asciiTheme="minorBidi" w:eastAsia="Times New Roman" w:hAnsiTheme="minorBidi"/>
          <w:sz w:val="28"/>
          <w:szCs w:val="28"/>
          <w:rtl/>
        </w:rPr>
        <w:t xml:space="preserve"> </w:t>
      </w:r>
      <w:proofErr w:type="spellStart"/>
      <w:r w:rsidRPr="00417789">
        <w:rPr>
          <w:rFonts w:asciiTheme="minorBidi" w:eastAsia="Times New Roman" w:hAnsiTheme="minorBidi"/>
          <w:sz w:val="28"/>
          <w:szCs w:val="28"/>
          <w:rtl/>
        </w:rPr>
        <w:t>والإجتماعية</w:t>
      </w:r>
      <w:proofErr w:type="spellEnd"/>
      <w:r w:rsidRPr="00417789">
        <w:rPr>
          <w:rFonts w:asciiTheme="minorBidi" w:eastAsia="Times New Roman" w:hAnsiTheme="minorBidi"/>
          <w:sz w:val="28"/>
          <w:szCs w:val="28"/>
          <w:rtl/>
        </w:rPr>
        <w:t xml:space="preserve"> إلى </w:t>
      </w:r>
      <w:r w:rsidRPr="00417789">
        <w:rPr>
          <w:rFonts w:asciiTheme="minorBidi" w:eastAsia="Times New Roman" w:hAnsiTheme="minorBidi" w:hint="cs"/>
          <w:sz w:val="28"/>
          <w:szCs w:val="28"/>
          <w:rtl/>
        </w:rPr>
        <w:t>الاعتراف</w:t>
      </w:r>
      <w:r w:rsidRPr="00417789">
        <w:rPr>
          <w:rFonts w:asciiTheme="minorBidi" w:eastAsia="Times New Roman" w:hAnsiTheme="minorBidi"/>
          <w:sz w:val="28"/>
          <w:szCs w:val="28"/>
          <w:rtl/>
        </w:rPr>
        <w:t xml:space="preserve"> بالشخصية القانونية لجماعة من الأشخاص والأموال تسعى لتحقيق أغراض معينة، كالشركات والجمعيات والمؤسسات، وهذا ما يقال له الأشخاص المعنوية أو </w:t>
      </w:r>
      <w:r w:rsidRPr="00417789">
        <w:rPr>
          <w:rFonts w:asciiTheme="minorBidi" w:eastAsia="Times New Roman" w:hAnsiTheme="minorBidi" w:hint="cs"/>
          <w:sz w:val="28"/>
          <w:szCs w:val="28"/>
          <w:rtl/>
        </w:rPr>
        <w:t>الاعتبارية</w:t>
      </w:r>
      <w:r w:rsidRPr="00417789">
        <w:rPr>
          <w:rFonts w:asciiTheme="minorBidi" w:eastAsia="Times New Roman" w:hAnsiTheme="minorBidi"/>
          <w:sz w:val="28"/>
          <w:szCs w:val="28"/>
          <w:rtl/>
        </w:rPr>
        <w:t>.</w:t>
      </w:r>
    </w:p>
    <w:p w:rsidR="00417789" w:rsidRPr="00417789" w:rsidRDefault="00417789" w:rsidP="00417789">
      <w:pPr>
        <w:spacing w:after="0" w:line="240" w:lineRule="auto"/>
        <w:ind w:firstLine="284"/>
        <w:jc w:val="lowKashida"/>
        <w:rPr>
          <w:rFonts w:asciiTheme="minorBidi" w:eastAsia="Times New Roman" w:hAnsiTheme="minorBidi"/>
          <w:sz w:val="28"/>
          <w:szCs w:val="28"/>
          <w:rtl/>
        </w:rPr>
      </w:pPr>
    </w:p>
    <w:p w:rsidR="00417789" w:rsidRPr="00417789" w:rsidRDefault="00417789" w:rsidP="00417789">
      <w:pPr>
        <w:spacing w:after="0" w:line="240" w:lineRule="auto"/>
        <w:jc w:val="both"/>
        <w:rPr>
          <w:rFonts w:asciiTheme="minorBidi" w:eastAsia="Times New Roman" w:hAnsiTheme="minorBidi"/>
          <w:sz w:val="28"/>
          <w:szCs w:val="28"/>
          <w:rtl/>
        </w:rPr>
      </w:pPr>
      <w:proofErr w:type="spellStart"/>
      <w:r w:rsidRPr="00417789">
        <w:rPr>
          <w:rFonts w:asciiTheme="minorBidi" w:eastAsia="Times New Roman" w:hAnsiTheme="minorBidi"/>
          <w:sz w:val="28"/>
          <w:szCs w:val="28"/>
          <w:rtl/>
        </w:rPr>
        <w:t>فاول</w:t>
      </w:r>
      <w:proofErr w:type="spellEnd"/>
      <w:r w:rsidRPr="00417789">
        <w:rPr>
          <w:rFonts w:asciiTheme="minorBidi" w:eastAsia="Times New Roman" w:hAnsiTheme="minorBidi"/>
          <w:sz w:val="28"/>
          <w:szCs w:val="28"/>
          <w:rtl/>
        </w:rPr>
        <w:t xml:space="preserve"> شرط في الشخص لكي يكون متهما ان يكون شخصا طبيعيا (انسانا)،فلا يمكن ان تحرك الدعوى الجزائية بحق غير الانسان كالحيوان او الجماد،</w:t>
      </w:r>
      <w:r w:rsidRPr="00417789">
        <w:rPr>
          <w:rFonts w:asciiTheme="minorBidi" w:eastAsia="Times New Roman" w:hAnsiTheme="minorBidi" w:hint="cs"/>
          <w:sz w:val="28"/>
          <w:szCs w:val="28"/>
          <w:rtl/>
        </w:rPr>
        <w:t xml:space="preserve"> </w:t>
      </w:r>
      <w:r w:rsidRPr="00417789">
        <w:rPr>
          <w:rFonts w:asciiTheme="minorBidi" w:eastAsia="Times New Roman" w:hAnsiTheme="minorBidi"/>
          <w:sz w:val="28"/>
          <w:szCs w:val="28"/>
          <w:rtl/>
        </w:rPr>
        <w:t>ولكن يمكن ان يكون صاحب الحيوان محلاً للمساءلة اذا ما توافرت شروطها القانونية،</w:t>
      </w:r>
      <w:r w:rsidRPr="00417789">
        <w:rPr>
          <w:rFonts w:asciiTheme="minorBidi" w:eastAsia="Times New Roman" w:hAnsiTheme="minorBidi" w:hint="cs"/>
          <w:sz w:val="28"/>
          <w:szCs w:val="28"/>
          <w:rtl/>
        </w:rPr>
        <w:t xml:space="preserve"> </w:t>
      </w:r>
      <w:r w:rsidRPr="00417789">
        <w:rPr>
          <w:rFonts w:asciiTheme="minorBidi" w:eastAsia="Times New Roman" w:hAnsiTheme="minorBidi"/>
          <w:sz w:val="28"/>
          <w:szCs w:val="28"/>
          <w:rtl/>
        </w:rPr>
        <w:t>عندما يتسبب عمدا او اهمالا في احداث ضرر بالغير عن طريق ذلك الحيوان وتوجيهه الوجهة التي يريدها من خلال التدريب والتوجيه،</w:t>
      </w:r>
      <w:r w:rsidRPr="00417789">
        <w:rPr>
          <w:rFonts w:asciiTheme="minorBidi" w:eastAsia="Times New Roman" w:hAnsiTheme="minorBidi" w:hint="cs"/>
          <w:sz w:val="28"/>
          <w:szCs w:val="28"/>
          <w:rtl/>
        </w:rPr>
        <w:t xml:space="preserve"> </w:t>
      </w:r>
      <w:r w:rsidRPr="00417789">
        <w:rPr>
          <w:rFonts w:asciiTheme="minorBidi" w:eastAsia="Times New Roman" w:hAnsiTheme="minorBidi"/>
          <w:sz w:val="28"/>
          <w:szCs w:val="28"/>
          <w:rtl/>
        </w:rPr>
        <w:t xml:space="preserve">كمالك الكلب الذي يهمل مراقبة كلبه فيهجم على احد المارة فيعضه متسبباً </w:t>
      </w:r>
      <w:r w:rsidRPr="00417789">
        <w:rPr>
          <w:rFonts w:asciiTheme="minorBidi" w:eastAsia="Times New Roman" w:hAnsiTheme="minorBidi" w:hint="cs"/>
          <w:sz w:val="28"/>
          <w:szCs w:val="28"/>
          <w:rtl/>
        </w:rPr>
        <w:t>بإحداث</w:t>
      </w:r>
      <w:r w:rsidRPr="00417789">
        <w:rPr>
          <w:rFonts w:asciiTheme="minorBidi" w:eastAsia="Times New Roman" w:hAnsiTheme="minorBidi"/>
          <w:sz w:val="28"/>
          <w:szCs w:val="28"/>
          <w:rtl/>
        </w:rPr>
        <w:t xml:space="preserve"> جروح له أو عاهة مستديمة أو حتى وفاته. فهنا يسأل صاحب الكلب جزائياً ومدنيا.</w:t>
      </w:r>
    </w:p>
    <w:p w:rsidR="00417789" w:rsidRPr="00417789" w:rsidRDefault="00417789" w:rsidP="00417789">
      <w:pPr>
        <w:spacing w:after="0" w:line="240" w:lineRule="auto"/>
        <w:jc w:val="both"/>
        <w:rPr>
          <w:rFonts w:asciiTheme="minorBidi" w:eastAsia="Times New Roman" w:hAnsiTheme="minorBidi"/>
          <w:sz w:val="28"/>
          <w:szCs w:val="28"/>
          <w:rtl/>
        </w:rPr>
      </w:pPr>
    </w:p>
    <w:p w:rsidR="00417789" w:rsidRPr="00417789" w:rsidRDefault="00417789" w:rsidP="00417789">
      <w:pPr>
        <w:spacing w:after="0" w:line="240" w:lineRule="auto"/>
        <w:jc w:val="both"/>
        <w:rPr>
          <w:rFonts w:asciiTheme="minorBidi" w:eastAsia="Times New Roman" w:hAnsiTheme="minorBidi"/>
          <w:sz w:val="28"/>
          <w:szCs w:val="28"/>
          <w:rtl/>
        </w:rPr>
      </w:pPr>
    </w:p>
    <w:p w:rsidR="00C20E54" w:rsidRPr="00B87747" w:rsidRDefault="00C20E54">
      <w:bookmarkStart w:id="0" w:name="_GoBack"/>
      <w:bookmarkEnd w:id="0"/>
    </w:p>
    <w:sectPr w:rsidR="00C20E54" w:rsidRPr="00B87747" w:rsidSect="00F86DE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EBD" w:rsidRDefault="002C6EBD" w:rsidP="006D374C">
      <w:pPr>
        <w:spacing w:after="0" w:line="240" w:lineRule="auto"/>
      </w:pPr>
      <w:r>
        <w:separator/>
      </w:r>
    </w:p>
  </w:endnote>
  <w:endnote w:type="continuationSeparator" w:id="0">
    <w:p w:rsidR="002C6EBD" w:rsidRDefault="002C6EBD" w:rsidP="006D3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e Bold Jut Out">
    <w:panose1 w:val="02010401010101010101"/>
    <w:charset w:val="B2"/>
    <w:family w:val="auto"/>
    <w:pitch w:val="variable"/>
    <w:sig w:usb0="00002001" w:usb1="80000000" w:usb2="00000008" w:usb3="00000000" w:csb0="00000040" w:csb1="00000000"/>
  </w:font>
  <w:font w:name="MCS Jeddah S_U normal.">
    <w:altName w:val="Times New Roman"/>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EBD" w:rsidRDefault="002C6EBD" w:rsidP="006D374C">
      <w:pPr>
        <w:spacing w:after="0" w:line="240" w:lineRule="auto"/>
      </w:pPr>
      <w:r>
        <w:separator/>
      </w:r>
    </w:p>
  </w:footnote>
  <w:footnote w:type="continuationSeparator" w:id="0">
    <w:p w:rsidR="002C6EBD" w:rsidRDefault="002C6EBD" w:rsidP="006D374C">
      <w:pPr>
        <w:spacing w:after="0" w:line="240" w:lineRule="auto"/>
      </w:pPr>
      <w:r>
        <w:continuationSeparator/>
      </w:r>
    </w:p>
  </w:footnote>
  <w:footnote w:id="1">
    <w:p w:rsidR="00417789" w:rsidRDefault="00417789" w:rsidP="00417789"/>
    <w:p w:rsidR="00417789" w:rsidRPr="0034334B" w:rsidRDefault="00417789" w:rsidP="00417789">
      <w:pPr>
        <w:pStyle w:val="a4"/>
        <w:jc w:val="lowKashida"/>
        <w:rPr>
          <w:sz w:val="24"/>
          <w:rtl/>
        </w:rPr>
      </w:pPr>
    </w:p>
  </w:footnote>
  <w:footnote w:id="2">
    <w:p w:rsidR="00417789" w:rsidRDefault="00417789" w:rsidP="00417789"/>
    <w:p w:rsidR="00417789" w:rsidRPr="00141061" w:rsidRDefault="00417789" w:rsidP="00417789">
      <w:pPr>
        <w:pStyle w:val="a4"/>
        <w:jc w:val="lowKashida"/>
        <w:rPr>
          <w:sz w:val="24"/>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A22A8"/>
    <w:multiLevelType w:val="hybridMultilevel"/>
    <w:tmpl w:val="21CCF25A"/>
    <w:lvl w:ilvl="0" w:tplc="E85A59B6">
      <w:start w:val="1"/>
      <w:numFmt w:val="decimal"/>
      <w:lvlText w:val="%1-"/>
      <w:lvlJc w:val="left"/>
      <w:pPr>
        <w:ind w:left="573" w:hanging="360"/>
      </w:pPr>
      <w:rPr>
        <w:rFonts w:hint="default"/>
        <w:b/>
        <w:bCs/>
      </w:rPr>
    </w:lvl>
    <w:lvl w:ilvl="1" w:tplc="04090019" w:tentative="1">
      <w:start w:val="1"/>
      <w:numFmt w:val="lowerLetter"/>
      <w:lvlText w:val="%2."/>
      <w:lvlJc w:val="left"/>
      <w:pPr>
        <w:ind w:left="1293" w:hanging="360"/>
      </w:pPr>
    </w:lvl>
    <w:lvl w:ilvl="2" w:tplc="0409001B" w:tentative="1">
      <w:start w:val="1"/>
      <w:numFmt w:val="lowerRoman"/>
      <w:lvlText w:val="%3."/>
      <w:lvlJc w:val="right"/>
      <w:pPr>
        <w:ind w:left="2013" w:hanging="180"/>
      </w:pPr>
    </w:lvl>
    <w:lvl w:ilvl="3" w:tplc="0409000F" w:tentative="1">
      <w:start w:val="1"/>
      <w:numFmt w:val="decimal"/>
      <w:lvlText w:val="%4."/>
      <w:lvlJc w:val="left"/>
      <w:pPr>
        <w:ind w:left="2733" w:hanging="360"/>
      </w:pPr>
    </w:lvl>
    <w:lvl w:ilvl="4" w:tplc="04090019" w:tentative="1">
      <w:start w:val="1"/>
      <w:numFmt w:val="lowerLetter"/>
      <w:lvlText w:val="%5."/>
      <w:lvlJc w:val="left"/>
      <w:pPr>
        <w:ind w:left="3453" w:hanging="360"/>
      </w:pPr>
    </w:lvl>
    <w:lvl w:ilvl="5" w:tplc="0409001B" w:tentative="1">
      <w:start w:val="1"/>
      <w:numFmt w:val="lowerRoman"/>
      <w:lvlText w:val="%6."/>
      <w:lvlJc w:val="right"/>
      <w:pPr>
        <w:ind w:left="4173" w:hanging="180"/>
      </w:pPr>
    </w:lvl>
    <w:lvl w:ilvl="6" w:tplc="0409000F" w:tentative="1">
      <w:start w:val="1"/>
      <w:numFmt w:val="decimal"/>
      <w:lvlText w:val="%7."/>
      <w:lvlJc w:val="left"/>
      <w:pPr>
        <w:ind w:left="4893" w:hanging="360"/>
      </w:pPr>
    </w:lvl>
    <w:lvl w:ilvl="7" w:tplc="04090019" w:tentative="1">
      <w:start w:val="1"/>
      <w:numFmt w:val="lowerLetter"/>
      <w:lvlText w:val="%8."/>
      <w:lvlJc w:val="left"/>
      <w:pPr>
        <w:ind w:left="5613" w:hanging="360"/>
      </w:pPr>
    </w:lvl>
    <w:lvl w:ilvl="8" w:tplc="0409001B" w:tentative="1">
      <w:start w:val="1"/>
      <w:numFmt w:val="lowerRoman"/>
      <w:lvlText w:val="%9."/>
      <w:lvlJc w:val="right"/>
      <w:pPr>
        <w:ind w:left="6333" w:hanging="180"/>
      </w:pPr>
    </w:lvl>
  </w:abstractNum>
  <w:abstractNum w:abstractNumId="1">
    <w:nsid w:val="760C0B35"/>
    <w:multiLevelType w:val="hybridMultilevel"/>
    <w:tmpl w:val="29866260"/>
    <w:lvl w:ilvl="0" w:tplc="40740ED4">
      <w:start w:val="2"/>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89D"/>
    <w:rsid w:val="0005589D"/>
    <w:rsid w:val="001854F3"/>
    <w:rsid w:val="002C6EBD"/>
    <w:rsid w:val="003973ED"/>
    <w:rsid w:val="00417789"/>
    <w:rsid w:val="0044715D"/>
    <w:rsid w:val="006D374C"/>
    <w:rsid w:val="008841EE"/>
    <w:rsid w:val="009B0584"/>
    <w:rsid w:val="00A66F79"/>
    <w:rsid w:val="00B87747"/>
    <w:rsid w:val="00BD4FF6"/>
    <w:rsid w:val="00BD547E"/>
    <w:rsid w:val="00C20E54"/>
    <w:rsid w:val="00E9103D"/>
    <w:rsid w:val="00F86D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E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103D"/>
    <w:pPr>
      <w:ind w:left="720"/>
      <w:contextualSpacing/>
    </w:pPr>
    <w:rPr>
      <w:rFonts w:ascii="Calibri" w:eastAsia="Calibri" w:hAnsi="Calibri" w:cs="Arial"/>
    </w:rPr>
  </w:style>
  <w:style w:type="paragraph" w:styleId="a4">
    <w:name w:val="footnote text"/>
    <w:basedOn w:val="a"/>
    <w:link w:val="Char"/>
    <w:uiPriority w:val="99"/>
    <w:semiHidden/>
    <w:unhideWhenUsed/>
    <w:rsid w:val="006D374C"/>
    <w:pPr>
      <w:spacing w:after="0" w:line="240" w:lineRule="auto"/>
    </w:pPr>
    <w:rPr>
      <w:sz w:val="20"/>
      <w:szCs w:val="20"/>
    </w:rPr>
  </w:style>
  <w:style w:type="character" w:customStyle="1" w:styleId="Char">
    <w:name w:val="نص حاشية سفلية Char"/>
    <w:basedOn w:val="a0"/>
    <w:link w:val="a4"/>
    <w:uiPriority w:val="99"/>
    <w:semiHidden/>
    <w:rsid w:val="006D37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3122</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د.ضياء</dc:creator>
  <cp:lastModifiedBy>د.ضياء</cp:lastModifiedBy>
  <cp:revision>2</cp:revision>
  <dcterms:created xsi:type="dcterms:W3CDTF">2015-09-25T19:05:00Z</dcterms:created>
  <dcterms:modified xsi:type="dcterms:W3CDTF">2015-09-25T19:05:00Z</dcterms:modified>
</cp:coreProperties>
</file>