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3ED" w:rsidRDefault="003973ED" w:rsidP="008841EE">
      <w:pPr>
        <w:spacing w:after="0" w:line="240" w:lineRule="auto"/>
        <w:jc w:val="center"/>
        <w:rPr>
          <w:rFonts w:ascii="Arial" w:eastAsia="Times New Roman" w:hAnsi="Arial" w:cs="Simple Bold Jut Out" w:hint="cs"/>
          <w:sz w:val="36"/>
          <w:szCs w:val="36"/>
          <w:rtl/>
        </w:rPr>
      </w:pPr>
      <w:r>
        <w:rPr>
          <w:rFonts w:ascii="Arial" w:eastAsia="Times New Roman" w:hAnsi="Arial" w:cs="Simple Bold Jut Out" w:hint="cs"/>
          <w:sz w:val="36"/>
          <w:szCs w:val="36"/>
          <w:rtl/>
        </w:rPr>
        <w:t xml:space="preserve">المحاضرة </w:t>
      </w:r>
      <w:r w:rsidR="008841EE">
        <w:rPr>
          <w:rFonts w:ascii="Arial" w:eastAsia="Times New Roman" w:hAnsi="Arial" w:cs="Simple Bold Jut Out" w:hint="cs"/>
          <w:sz w:val="36"/>
          <w:szCs w:val="36"/>
          <w:rtl/>
        </w:rPr>
        <w:t>20</w:t>
      </w:r>
    </w:p>
    <w:p w:rsidR="009B0584" w:rsidRPr="001119BE" w:rsidRDefault="009B0584" w:rsidP="009B0584">
      <w:pPr>
        <w:spacing w:after="0" w:line="120" w:lineRule="atLeast"/>
        <w:ind w:right="57"/>
        <w:jc w:val="center"/>
        <w:outlineLvl w:val="8"/>
        <w:rPr>
          <w:rFonts w:ascii="Arial" w:eastAsia="Times New Roman" w:hAnsi="Arial" w:cs="Arial"/>
          <w:b/>
          <w:bCs/>
          <w:sz w:val="36"/>
          <w:szCs w:val="36"/>
          <w:u w:val="single"/>
          <w:rtl/>
          <w:lang w:bidi="ar-IQ"/>
        </w:rPr>
      </w:pPr>
    </w:p>
    <w:p w:rsidR="008841EE" w:rsidRPr="008841EE" w:rsidRDefault="008841EE" w:rsidP="008841EE">
      <w:pPr>
        <w:spacing w:after="0" w:line="240" w:lineRule="auto"/>
        <w:ind w:firstLine="284"/>
        <w:jc w:val="center"/>
        <w:rPr>
          <w:rFonts w:ascii="Simplified Arabic" w:eastAsia="Times New Roman" w:hAnsi="Simplified Arabic" w:cs="PT Bold Heading"/>
          <w:b/>
          <w:bCs/>
          <w:sz w:val="32"/>
          <w:szCs w:val="32"/>
          <w:rtl/>
        </w:rPr>
      </w:pPr>
      <w:r w:rsidRPr="008841EE">
        <w:rPr>
          <w:rFonts w:ascii="Simplified Arabic" w:eastAsia="Times New Roman" w:hAnsi="Simplified Arabic" w:cs="PT Bold Heading" w:hint="cs"/>
          <w:b/>
          <w:bCs/>
          <w:sz w:val="32"/>
          <w:szCs w:val="32"/>
          <w:rtl/>
        </w:rPr>
        <w:t>تعريف المتهم في الشريعة الإسلامية</w:t>
      </w:r>
    </w:p>
    <w:p w:rsidR="008841EE" w:rsidRPr="008841EE" w:rsidRDefault="008841EE" w:rsidP="008841EE">
      <w:pPr>
        <w:spacing w:after="0" w:line="240" w:lineRule="auto"/>
        <w:ind w:firstLine="284"/>
        <w:jc w:val="center"/>
        <w:rPr>
          <w:rFonts w:ascii="Simplified Arabic" w:eastAsia="Times New Roman" w:hAnsi="Simplified Arabic" w:cs="PT Bold Heading"/>
          <w:b/>
          <w:bCs/>
          <w:sz w:val="32"/>
          <w:szCs w:val="32"/>
          <w:rtl/>
        </w:rPr>
      </w:pPr>
    </w:p>
    <w:p w:rsidR="008841EE" w:rsidRPr="008841EE" w:rsidRDefault="008841EE" w:rsidP="008841EE">
      <w:pPr>
        <w:keepNext/>
        <w:widowControl w:val="0"/>
        <w:spacing w:after="0" w:line="240" w:lineRule="auto"/>
        <w:ind w:firstLine="284"/>
        <w:jc w:val="lowKashida"/>
        <w:rPr>
          <w:rFonts w:asciiTheme="minorBidi" w:eastAsia="Times New Roman" w:hAnsiTheme="minorBidi"/>
          <w:b/>
          <w:bCs/>
          <w:sz w:val="36"/>
          <w:szCs w:val="36"/>
          <w:rtl/>
        </w:rPr>
      </w:pPr>
      <w:r w:rsidRPr="008841EE">
        <w:rPr>
          <w:rFonts w:asciiTheme="minorBidi" w:eastAsia="Times New Roman" w:hAnsiTheme="minorBidi"/>
          <w:sz w:val="28"/>
          <w:szCs w:val="28"/>
          <w:rtl/>
        </w:rPr>
        <w:t xml:space="preserve">جاءت الشريعة الإسلامية الغراء زاخرة بالكثير من المبادئ والأصول القضائية والإجرائية في المجال الجزائي، التي لها موقع الأصالة والأسبقية على الكثير من المبادئ والأصول المعروفة حالياً نسبت الكثير من النظم القانونية المعاصرة فضل </w:t>
      </w:r>
      <w:proofErr w:type="spellStart"/>
      <w:r w:rsidRPr="008841EE">
        <w:rPr>
          <w:rFonts w:asciiTheme="minorBidi" w:eastAsia="Times New Roman" w:hAnsiTheme="minorBidi"/>
          <w:sz w:val="28"/>
          <w:szCs w:val="28"/>
          <w:rtl/>
        </w:rPr>
        <w:t>أكتشافها</w:t>
      </w:r>
      <w:proofErr w:type="spellEnd"/>
      <w:r w:rsidRPr="008841EE">
        <w:rPr>
          <w:rFonts w:asciiTheme="minorBidi" w:eastAsia="Times New Roman" w:hAnsiTheme="minorBidi"/>
          <w:sz w:val="28"/>
          <w:szCs w:val="28"/>
          <w:rtl/>
        </w:rPr>
        <w:t xml:space="preserve"> لنفسها .</w:t>
      </w:r>
    </w:p>
    <w:p w:rsidR="008841EE" w:rsidRPr="008841EE" w:rsidRDefault="008841EE" w:rsidP="008841EE">
      <w:pPr>
        <w:spacing w:after="0" w:line="240" w:lineRule="auto"/>
        <w:ind w:firstLine="284"/>
        <w:jc w:val="lowKashida"/>
        <w:rPr>
          <w:rFonts w:asciiTheme="minorBidi" w:eastAsia="Times New Roman" w:hAnsiTheme="minorBidi"/>
          <w:sz w:val="28"/>
          <w:szCs w:val="28"/>
          <w:rtl/>
        </w:rPr>
      </w:pPr>
      <w:r w:rsidRPr="008841EE">
        <w:rPr>
          <w:rFonts w:asciiTheme="minorBidi" w:eastAsia="Times New Roman" w:hAnsiTheme="minorBidi"/>
          <w:sz w:val="28"/>
          <w:szCs w:val="28"/>
          <w:rtl/>
        </w:rPr>
        <w:t xml:space="preserve">إن أولوية المبادئ الإجرائية الجزائية الإسلامية </w:t>
      </w:r>
      <w:proofErr w:type="spellStart"/>
      <w:r w:rsidRPr="008841EE">
        <w:rPr>
          <w:rFonts w:asciiTheme="minorBidi" w:eastAsia="Times New Roman" w:hAnsiTheme="minorBidi"/>
          <w:sz w:val="28"/>
          <w:szCs w:val="28"/>
          <w:rtl/>
        </w:rPr>
        <w:t>إستمدت</w:t>
      </w:r>
      <w:proofErr w:type="spellEnd"/>
      <w:r w:rsidRPr="008841EE">
        <w:rPr>
          <w:rFonts w:asciiTheme="minorBidi" w:eastAsia="Times New Roman" w:hAnsiTheme="minorBidi"/>
          <w:sz w:val="28"/>
          <w:szCs w:val="28"/>
          <w:rtl/>
        </w:rPr>
        <w:t xml:space="preserve"> من قوة وأصالة مصادرها المتمثلة بكلام البارئ عز وجل المتجسدة بالقران الكريم وسنة نبيه المتجسدة بأقواله وأفعاله وتقريرهُ، إضافة إلى المصادر الأخرى التي جاء فقهاء المسلمون بها.</w:t>
      </w:r>
    </w:p>
    <w:p w:rsidR="008841EE" w:rsidRPr="008841EE" w:rsidRDefault="008841EE" w:rsidP="008841EE">
      <w:pPr>
        <w:spacing w:after="0" w:line="240" w:lineRule="auto"/>
        <w:ind w:firstLine="284"/>
        <w:jc w:val="lowKashida"/>
        <w:rPr>
          <w:rFonts w:asciiTheme="minorBidi" w:eastAsia="Times New Roman" w:hAnsiTheme="minorBidi"/>
          <w:sz w:val="28"/>
          <w:szCs w:val="28"/>
          <w:rtl/>
        </w:rPr>
      </w:pPr>
      <w:r w:rsidRPr="008841EE">
        <w:rPr>
          <w:rFonts w:asciiTheme="minorBidi" w:eastAsia="Times New Roman" w:hAnsiTheme="minorBidi"/>
          <w:sz w:val="28"/>
          <w:szCs w:val="28"/>
          <w:rtl/>
        </w:rPr>
        <w:t xml:space="preserve">إن التعدد والتنوع بمصادر الشريعة عكس دقه إحكامها ومبادئها، إذ جاءت متضمنه للكثير من التفصيلات والتحليلات طالت معظم أصولها ومبادئها وهذا هو وجه </w:t>
      </w:r>
      <w:proofErr w:type="spellStart"/>
      <w:r w:rsidRPr="008841EE">
        <w:rPr>
          <w:rFonts w:asciiTheme="minorBidi" w:eastAsia="Times New Roman" w:hAnsiTheme="minorBidi"/>
          <w:sz w:val="28"/>
          <w:szCs w:val="28"/>
          <w:rtl/>
        </w:rPr>
        <w:t>الأختلاف</w:t>
      </w:r>
      <w:proofErr w:type="spellEnd"/>
      <w:r w:rsidRPr="008841EE">
        <w:rPr>
          <w:rFonts w:asciiTheme="minorBidi" w:eastAsia="Times New Roman" w:hAnsiTheme="minorBidi"/>
          <w:sz w:val="28"/>
          <w:szCs w:val="28"/>
          <w:rtl/>
        </w:rPr>
        <w:t xml:space="preserve"> الذي </w:t>
      </w:r>
      <w:proofErr w:type="spellStart"/>
      <w:r w:rsidRPr="008841EE">
        <w:rPr>
          <w:rFonts w:asciiTheme="minorBidi" w:eastAsia="Times New Roman" w:hAnsiTheme="minorBidi"/>
          <w:sz w:val="28"/>
          <w:szCs w:val="28"/>
          <w:rtl/>
        </w:rPr>
        <w:t>إنفردت</w:t>
      </w:r>
      <w:proofErr w:type="spellEnd"/>
      <w:r w:rsidRPr="008841EE">
        <w:rPr>
          <w:rFonts w:asciiTheme="minorBidi" w:eastAsia="Times New Roman" w:hAnsiTheme="minorBidi"/>
          <w:sz w:val="28"/>
          <w:szCs w:val="28"/>
          <w:rtl/>
        </w:rPr>
        <w:t xml:space="preserve"> به الشريعة الإسلامية على بقية الشرائع السماوية التي سبقتها . </w:t>
      </w:r>
    </w:p>
    <w:p w:rsidR="008841EE" w:rsidRPr="008841EE" w:rsidRDefault="008841EE" w:rsidP="008841EE">
      <w:pPr>
        <w:spacing w:after="0" w:line="240" w:lineRule="auto"/>
        <w:ind w:firstLine="284"/>
        <w:jc w:val="lowKashida"/>
        <w:rPr>
          <w:rFonts w:asciiTheme="minorBidi" w:eastAsia="Times New Roman" w:hAnsiTheme="minorBidi"/>
          <w:sz w:val="28"/>
          <w:szCs w:val="28"/>
          <w:rtl/>
        </w:rPr>
      </w:pPr>
      <w:r w:rsidRPr="008841EE">
        <w:rPr>
          <w:rFonts w:asciiTheme="minorBidi" w:eastAsia="Times New Roman" w:hAnsiTheme="minorBidi"/>
          <w:sz w:val="28"/>
          <w:szCs w:val="28"/>
          <w:rtl/>
        </w:rPr>
        <w:t xml:space="preserve">لذلك أولت الشريعة عناية ملحوظة بالمتهم من خلال تناول مفهومه وشروطه وتقسيمه على أنواع على غرار ما سلكته التشريعات المعاصرة، لذلك سوف نتناول معنى المتهم أولاً ثم    أنواعه . </w:t>
      </w:r>
    </w:p>
    <w:p w:rsidR="008841EE" w:rsidRPr="008841EE" w:rsidRDefault="008841EE" w:rsidP="008841EE">
      <w:pPr>
        <w:spacing w:after="0" w:line="240" w:lineRule="auto"/>
        <w:ind w:firstLine="284"/>
        <w:rPr>
          <w:rFonts w:asciiTheme="minorBidi" w:eastAsia="Times New Roman" w:hAnsiTheme="minorBidi"/>
          <w:b/>
          <w:bCs/>
          <w:sz w:val="28"/>
          <w:szCs w:val="28"/>
          <w:rtl/>
        </w:rPr>
      </w:pPr>
      <w:r w:rsidRPr="008841EE">
        <w:rPr>
          <w:rFonts w:ascii="Simplified Arabic" w:eastAsia="Times New Roman" w:hAnsi="Simplified Arabic" w:cs="Simplified Arabic" w:hint="cs"/>
          <w:b/>
          <w:bCs/>
          <w:sz w:val="32"/>
          <w:szCs w:val="32"/>
          <w:rtl/>
        </w:rPr>
        <w:t>1</w:t>
      </w:r>
      <w:r w:rsidRPr="008841EE">
        <w:rPr>
          <w:rFonts w:asciiTheme="minorBidi" w:eastAsia="Times New Roman" w:hAnsiTheme="minorBidi"/>
          <w:b/>
          <w:bCs/>
          <w:sz w:val="28"/>
          <w:szCs w:val="28"/>
          <w:rtl/>
        </w:rPr>
        <w:t>-  مدلول المتهم :</w:t>
      </w:r>
    </w:p>
    <w:p w:rsidR="008841EE" w:rsidRPr="008841EE" w:rsidRDefault="008841EE" w:rsidP="008841EE">
      <w:pPr>
        <w:spacing w:after="0" w:line="240" w:lineRule="auto"/>
        <w:ind w:firstLine="284"/>
        <w:jc w:val="lowKashida"/>
        <w:rPr>
          <w:rFonts w:asciiTheme="minorBidi" w:eastAsia="Times New Roman" w:hAnsiTheme="minorBidi"/>
          <w:sz w:val="28"/>
          <w:szCs w:val="28"/>
          <w:rtl/>
        </w:rPr>
      </w:pPr>
      <w:r w:rsidRPr="008841EE">
        <w:rPr>
          <w:rFonts w:asciiTheme="minorBidi" w:eastAsia="Times New Roman" w:hAnsiTheme="minorBidi"/>
          <w:sz w:val="28"/>
          <w:szCs w:val="28"/>
          <w:rtl/>
        </w:rPr>
        <w:t xml:space="preserve">لم تتوحد التسميات التي أطلقها علماء المسلمين على المتهم فمنهم من أسماه بـ ( الظنين ) والأخر بـ ( المدعى عليه )، ( التهيم )، ( </w:t>
      </w:r>
      <w:proofErr w:type="spellStart"/>
      <w:r w:rsidRPr="008841EE">
        <w:rPr>
          <w:rFonts w:asciiTheme="minorBidi" w:eastAsia="Times New Roman" w:hAnsiTheme="minorBidi"/>
          <w:sz w:val="28"/>
          <w:szCs w:val="28"/>
          <w:rtl/>
        </w:rPr>
        <w:t>المستعدي</w:t>
      </w:r>
      <w:proofErr w:type="spellEnd"/>
      <w:r w:rsidRPr="008841EE">
        <w:rPr>
          <w:rFonts w:asciiTheme="minorBidi" w:eastAsia="Times New Roman" w:hAnsiTheme="minorBidi"/>
          <w:sz w:val="28"/>
          <w:szCs w:val="28"/>
          <w:rtl/>
        </w:rPr>
        <w:t xml:space="preserve"> عليه )، ( والمتهوم ) – إذا كان المتهم يمثل أمام الوالي، إلا إن لفظ ( المتهم ) هو الأكثر شيوعاً  وصحة وما يستدل على ذلك تسميت الدعوى الجزائية في الإسلام ( بدعوى التهمة ) .</w:t>
      </w:r>
    </w:p>
    <w:p w:rsidR="008841EE" w:rsidRPr="008841EE" w:rsidRDefault="008841EE" w:rsidP="008841EE">
      <w:pPr>
        <w:spacing w:after="0" w:line="240" w:lineRule="auto"/>
        <w:ind w:firstLine="284"/>
        <w:jc w:val="lowKashida"/>
        <w:rPr>
          <w:rFonts w:asciiTheme="minorBidi" w:eastAsia="Times New Roman" w:hAnsiTheme="minorBidi"/>
          <w:sz w:val="28"/>
          <w:szCs w:val="28"/>
          <w:rtl/>
        </w:rPr>
      </w:pPr>
      <w:r w:rsidRPr="008841EE">
        <w:rPr>
          <w:rFonts w:asciiTheme="minorBidi" w:eastAsia="Times New Roman" w:hAnsiTheme="minorBidi"/>
          <w:sz w:val="28"/>
          <w:szCs w:val="28"/>
          <w:rtl/>
        </w:rPr>
        <w:t xml:space="preserve">عُرف المتهم في </w:t>
      </w:r>
      <w:proofErr w:type="spellStart"/>
      <w:r w:rsidRPr="008841EE">
        <w:rPr>
          <w:rFonts w:asciiTheme="minorBidi" w:eastAsia="Times New Roman" w:hAnsiTheme="minorBidi"/>
          <w:sz w:val="28"/>
          <w:szCs w:val="28"/>
          <w:rtl/>
        </w:rPr>
        <w:t>أصطلاح</w:t>
      </w:r>
      <w:proofErr w:type="spellEnd"/>
      <w:r w:rsidRPr="008841EE">
        <w:rPr>
          <w:rFonts w:asciiTheme="minorBidi" w:eastAsia="Times New Roman" w:hAnsiTheme="minorBidi"/>
          <w:sz w:val="28"/>
          <w:szCs w:val="28"/>
          <w:rtl/>
        </w:rPr>
        <w:t xml:space="preserve"> فقهاء المسلمين " بأنه من أدعى عليه شخص بحق، سواء كان دماً أو مالاً عند قاض أو حاكم ".</w:t>
      </w:r>
    </w:p>
    <w:p w:rsidR="008841EE" w:rsidRPr="008841EE" w:rsidRDefault="008841EE" w:rsidP="008841EE">
      <w:pPr>
        <w:keepNext/>
        <w:widowControl w:val="0"/>
        <w:spacing w:after="0" w:line="240" w:lineRule="auto"/>
        <w:ind w:firstLine="284"/>
        <w:jc w:val="lowKashida"/>
        <w:rPr>
          <w:rFonts w:asciiTheme="minorBidi" w:eastAsia="Times New Roman" w:hAnsiTheme="minorBidi"/>
          <w:sz w:val="28"/>
          <w:szCs w:val="28"/>
          <w:rtl/>
        </w:rPr>
      </w:pPr>
      <w:r w:rsidRPr="008841EE">
        <w:rPr>
          <w:rFonts w:asciiTheme="minorBidi" w:eastAsia="Times New Roman" w:hAnsiTheme="minorBidi"/>
          <w:sz w:val="28"/>
          <w:szCs w:val="28"/>
          <w:rtl/>
        </w:rPr>
        <w:t>وعرف أيضاً " هو من أدعى عليه فعل محرم يوجب عقوبته من عدوان يتعذر إقامة البينة عليه في أغلب الأحوال "</w:t>
      </w:r>
      <w:r w:rsidRPr="008841EE">
        <w:rPr>
          <w:rFonts w:asciiTheme="minorBidi" w:eastAsia="Times New Roman" w:hAnsiTheme="minorBidi"/>
          <w:sz w:val="28"/>
          <w:szCs w:val="28"/>
          <w:vertAlign w:val="superscript"/>
          <w:rtl/>
          <w:lang w:bidi="ar-IQ"/>
        </w:rPr>
        <w:t xml:space="preserve"> </w:t>
      </w:r>
      <w:r w:rsidRPr="008841EE">
        <w:rPr>
          <w:rFonts w:asciiTheme="minorBidi" w:eastAsia="Times New Roman" w:hAnsiTheme="minorBidi"/>
          <w:sz w:val="28"/>
          <w:szCs w:val="28"/>
          <w:rtl/>
        </w:rPr>
        <w:t>.</w:t>
      </w:r>
    </w:p>
    <w:p w:rsidR="008841EE" w:rsidRPr="008841EE" w:rsidRDefault="008841EE" w:rsidP="008841EE">
      <w:pPr>
        <w:spacing w:after="0" w:line="240" w:lineRule="auto"/>
        <w:ind w:firstLine="284"/>
        <w:jc w:val="lowKashida"/>
        <w:rPr>
          <w:rFonts w:asciiTheme="minorBidi" w:eastAsia="Times New Roman" w:hAnsiTheme="minorBidi"/>
          <w:sz w:val="28"/>
          <w:szCs w:val="28"/>
          <w:rtl/>
        </w:rPr>
      </w:pPr>
      <w:r w:rsidRPr="008841EE">
        <w:rPr>
          <w:rFonts w:asciiTheme="minorBidi" w:eastAsia="Times New Roman" w:hAnsiTheme="minorBidi"/>
          <w:sz w:val="28"/>
          <w:szCs w:val="28"/>
          <w:rtl/>
        </w:rPr>
        <w:t xml:space="preserve">وهناك من عرفه " بأنه الشخص الذي ظن به </w:t>
      </w:r>
      <w:proofErr w:type="spellStart"/>
      <w:r w:rsidRPr="008841EE">
        <w:rPr>
          <w:rFonts w:asciiTheme="minorBidi" w:eastAsia="Times New Roman" w:hAnsiTheme="minorBidi"/>
          <w:sz w:val="28"/>
          <w:szCs w:val="28"/>
          <w:rtl/>
        </w:rPr>
        <w:t>إرتكاب</w:t>
      </w:r>
      <w:proofErr w:type="spellEnd"/>
      <w:r w:rsidRPr="008841EE">
        <w:rPr>
          <w:rFonts w:asciiTheme="minorBidi" w:eastAsia="Times New Roman" w:hAnsiTheme="minorBidi"/>
          <w:sz w:val="28"/>
          <w:szCs w:val="28"/>
          <w:rtl/>
        </w:rPr>
        <w:t xml:space="preserve"> جريمة ما، بناء على دلائل كافية لتكوين الظن، المستمد من الأحوال أو قرائن ظرفية أو مادية سواء كان ما ينسب إليه جريمة موجبة لحد أو قصاص أو تعزير "</w:t>
      </w:r>
      <w:r w:rsidRPr="008841EE">
        <w:rPr>
          <w:rFonts w:asciiTheme="minorBidi" w:eastAsia="Times New Roman" w:hAnsiTheme="minorBidi"/>
          <w:sz w:val="28"/>
          <w:szCs w:val="28"/>
          <w:rtl/>
          <w:lang w:bidi="ar-IQ"/>
        </w:rPr>
        <w:t>.</w:t>
      </w:r>
    </w:p>
    <w:p w:rsidR="008841EE" w:rsidRPr="008841EE" w:rsidRDefault="008841EE" w:rsidP="008841EE">
      <w:pPr>
        <w:spacing w:after="0" w:line="240" w:lineRule="auto"/>
        <w:ind w:firstLine="284"/>
        <w:jc w:val="lowKashida"/>
        <w:rPr>
          <w:rFonts w:asciiTheme="minorBidi" w:eastAsia="Times New Roman" w:hAnsiTheme="minorBidi"/>
          <w:sz w:val="28"/>
          <w:szCs w:val="28"/>
          <w:rtl/>
          <w:lang w:bidi="ar-IQ"/>
        </w:rPr>
      </w:pPr>
      <w:r w:rsidRPr="008841EE">
        <w:rPr>
          <w:rFonts w:asciiTheme="minorBidi" w:eastAsia="Times New Roman" w:hAnsiTheme="minorBidi"/>
          <w:sz w:val="28"/>
          <w:szCs w:val="28"/>
          <w:rtl/>
        </w:rPr>
        <w:t>وعرف أيضاً " من نسبت إليه جريمة في مجلس القضاء لطلب حق بما قد يحققه المطالب لنفسه، وبما يتعذر إقامة الشهادة غالباً "</w:t>
      </w:r>
      <w:r w:rsidRPr="008841EE">
        <w:rPr>
          <w:rFonts w:asciiTheme="minorBidi" w:eastAsia="Times New Roman" w:hAnsiTheme="minorBidi"/>
          <w:sz w:val="28"/>
          <w:szCs w:val="28"/>
          <w:rtl/>
          <w:lang w:bidi="ar-IQ"/>
        </w:rPr>
        <w:t>.</w:t>
      </w:r>
    </w:p>
    <w:p w:rsidR="008841EE" w:rsidRPr="008841EE" w:rsidRDefault="008841EE" w:rsidP="008841EE">
      <w:pPr>
        <w:spacing w:after="0" w:line="240" w:lineRule="auto"/>
        <w:ind w:firstLine="284"/>
        <w:jc w:val="lowKashida"/>
        <w:rPr>
          <w:rFonts w:asciiTheme="minorBidi" w:eastAsia="Times New Roman" w:hAnsiTheme="minorBidi"/>
          <w:sz w:val="28"/>
          <w:szCs w:val="28"/>
          <w:rtl/>
          <w:lang w:bidi="ar-IQ"/>
        </w:rPr>
      </w:pPr>
      <w:r w:rsidRPr="008841EE">
        <w:rPr>
          <w:rFonts w:asciiTheme="minorBidi" w:eastAsia="Times New Roman" w:hAnsiTheme="minorBidi"/>
          <w:sz w:val="28"/>
          <w:szCs w:val="28"/>
          <w:rtl/>
        </w:rPr>
        <w:t>كما وصف بأنه " من وجهت له التهمة بحق يمكن إثباته وقد لا يمكن إثباته "</w:t>
      </w:r>
      <w:r w:rsidRPr="008841EE">
        <w:rPr>
          <w:rFonts w:asciiTheme="minorBidi" w:eastAsia="Times New Roman" w:hAnsiTheme="minorBidi"/>
          <w:sz w:val="28"/>
          <w:szCs w:val="28"/>
          <w:rtl/>
          <w:lang w:bidi="ar-IQ"/>
        </w:rPr>
        <w:t>.</w:t>
      </w:r>
    </w:p>
    <w:p w:rsidR="008841EE" w:rsidRPr="008841EE" w:rsidRDefault="008841EE" w:rsidP="008841EE">
      <w:pPr>
        <w:spacing w:after="0" w:line="240" w:lineRule="auto"/>
        <w:ind w:firstLine="284"/>
        <w:jc w:val="lowKashida"/>
        <w:rPr>
          <w:rFonts w:asciiTheme="minorBidi" w:eastAsia="Times New Roman" w:hAnsiTheme="minorBidi"/>
          <w:sz w:val="28"/>
          <w:szCs w:val="28"/>
          <w:rtl/>
          <w:lang w:bidi="ar-IQ"/>
        </w:rPr>
      </w:pPr>
      <w:r w:rsidRPr="008841EE">
        <w:rPr>
          <w:rFonts w:asciiTheme="minorBidi" w:eastAsia="Times New Roman" w:hAnsiTheme="minorBidi"/>
          <w:sz w:val="28"/>
          <w:szCs w:val="28"/>
          <w:rtl/>
        </w:rPr>
        <w:t xml:space="preserve">وعرف أخيراً " هو الشخص نسب إليه القيام بتصرف معين – محظور أو غير محظور – بناء على قرائن ما يستوجب معاقبته أو </w:t>
      </w:r>
      <w:proofErr w:type="spellStart"/>
      <w:r w:rsidRPr="008841EE">
        <w:rPr>
          <w:rFonts w:asciiTheme="minorBidi" w:eastAsia="Times New Roman" w:hAnsiTheme="minorBidi"/>
          <w:sz w:val="28"/>
          <w:szCs w:val="28"/>
          <w:rtl/>
        </w:rPr>
        <w:t>إسترداد</w:t>
      </w:r>
      <w:proofErr w:type="spellEnd"/>
      <w:r w:rsidRPr="008841EE">
        <w:rPr>
          <w:rFonts w:asciiTheme="minorBidi" w:eastAsia="Times New Roman" w:hAnsiTheme="minorBidi"/>
          <w:sz w:val="28"/>
          <w:szCs w:val="28"/>
          <w:rtl/>
        </w:rPr>
        <w:t xml:space="preserve"> حقوق الآخرين من عنده، على تقدير ثبوت التصرف، بالأدلة الشرعية</w:t>
      </w:r>
      <w:r w:rsidRPr="008841EE">
        <w:rPr>
          <w:rFonts w:asciiTheme="minorBidi" w:eastAsia="Times New Roman" w:hAnsiTheme="minorBidi"/>
          <w:sz w:val="28"/>
          <w:szCs w:val="28"/>
          <w:rtl/>
          <w:lang w:bidi="ar-IQ"/>
        </w:rPr>
        <w:t>.</w:t>
      </w:r>
    </w:p>
    <w:p w:rsidR="008841EE" w:rsidRPr="008841EE" w:rsidRDefault="008841EE" w:rsidP="008841EE">
      <w:pPr>
        <w:spacing w:after="0" w:line="240" w:lineRule="auto"/>
        <w:ind w:firstLine="284"/>
        <w:jc w:val="lowKashida"/>
        <w:rPr>
          <w:rFonts w:asciiTheme="minorBidi" w:eastAsia="Times New Roman" w:hAnsiTheme="minorBidi"/>
          <w:sz w:val="28"/>
          <w:szCs w:val="28"/>
          <w:rtl/>
          <w:lang w:bidi="ar-IQ"/>
        </w:rPr>
      </w:pPr>
    </w:p>
    <w:p w:rsidR="008841EE" w:rsidRPr="008841EE" w:rsidRDefault="008841EE" w:rsidP="008841EE">
      <w:pPr>
        <w:spacing w:after="0" w:line="240" w:lineRule="auto"/>
        <w:ind w:firstLine="284"/>
        <w:rPr>
          <w:rFonts w:asciiTheme="minorBidi" w:eastAsia="Times New Roman" w:hAnsiTheme="minorBidi"/>
          <w:b/>
          <w:bCs/>
          <w:sz w:val="28"/>
          <w:szCs w:val="28"/>
          <w:rtl/>
        </w:rPr>
      </w:pPr>
      <w:r w:rsidRPr="008841EE">
        <w:rPr>
          <w:rFonts w:asciiTheme="minorBidi" w:eastAsia="Times New Roman" w:hAnsiTheme="minorBidi" w:hint="cs"/>
          <w:b/>
          <w:bCs/>
          <w:sz w:val="28"/>
          <w:szCs w:val="28"/>
          <w:rtl/>
        </w:rPr>
        <w:t>2-</w:t>
      </w:r>
      <w:r w:rsidRPr="008841EE">
        <w:rPr>
          <w:rFonts w:asciiTheme="minorBidi" w:eastAsia="Times New Roman" w:hAnsiTheme="minorBidi"/>
          <w:b/>
          <w:bCs/>
          <w:sz w:val="28"/>
          <w:szCs w:val="28"/>
          <w:rtl/>
        </w:rPr>
        <w:t xml:space="preserve"> أنواع المتهمين : </w:t>
      </w:r>
    </w:p>
    <w:p w:rsidR="008841EE" w:rsidRPr="008841EE" w:rsidRDefault="008841EE" w:rsidP="008841EE">
      <w:pPr>
        <w:spacing w:after="0" w:line="240" w:lineRule="auto"/>
        <w:ind w:firstLine="284"/>
        <w:rPr>
          <w:rFonts w:asciiTheme="minorBidi" w:eastAsia="Times New Roman" w:hAnsiTheme="minorBidi"/>
          <w:b/>
          <w:bCs/>
          <w:sz w:val="28"/>
          <w:szCs w:val="28"/>
          <w:rtl/>
        </w:rPr>
      </w:pPr>
    </w:p>
    <w:p w:rsidR="008841EE" w:rsidRPr="008841EE" w:rsidRDefault="008841EE" w:rsidP="008841EE">
      <w:pPr>
        <w:spacing w:after="0" w:line="240" w:lineRule="auto"/>
        <w:ind w:firstLine="284"/>
        <w:jc w:val="lowKashida"/>
        <w:rPr>
          <w:rFonts w:asciiTheme="minorBidi" w:eastAsia="Times New Roman" w:hAnsiTheme="minorBidi"/>
          <w:sz w:val="28"/>
          <w:szCs w:val="28"/>
          <w:rtl/>
        </w:rPr>
      </w:pPr>
      <w:r w:rsidRPr="008841EE">
        <w:rPr>
          <w:rFonts w:asciiTheme="minorBidi" w:eastAsia="Times New Roman" w:hAnsiTheme="minorBidi"/>
          <w:sz w:val="28"/>
          <w:szCs w:val="28"/>
          <w:rtl/>
        </w:rPr>
        <w:t>قسم فقهاء المسلمين المتهمين على أنواع وفق معيارين</w:t>
      </w:r>
      <w:r w:rsidRPr="008841EE">
        <w:rPr>
          <w:rFonts w:asciiTheme="minorBidi" w:eastAsia="Times New Roman" w:hAnsiTheme="minorBidi" w:hint="cs"/>
          <w:sz w:val="28"/>
          <w:szCs w:val="28"/>
          <w:rtl/>
        </w:rPr>
        <w:t xml:space="preserve">:- </w:t>
      </w:r>
    </w:p>
    <w:p w:rsidR="008841EE" w:rsidRPr="008841EE" w:rsidRDefault="008841EE" w:rsidP="008841EE">
      <w:pPr>
        <w:spacing w:after="0" w:line="240" w:lineRule="auto"/>
        <w:ind w:firstLine="284"/>
        <w:jc w:val="lowKashida"/>
        <w:rPr>
          <w:rFonts w:asciiTheme="minorBidi" w:eastAsia="Times New Roman" w:hAnsiTheme="minorBidi"/>
          <w:sz w:val="28"/>
          <w:szCs w:val="28"/>
          <w:rtl/>
        </w:rPr>
      </w:pPr>
      <w:r w:rsidRPr="008841EE">
        <w:rPr>
          <w:rFonts w:asciiTheme="minorBidi" w:eastAsia="Times New Roman" w:hAnsiTheme="minorBidi"/>
          <w:sz w:val="28"/>
          <w:szCs w:val="28"/>
          <w:rtl/>
        </w:rPr>
        <w:t xml:space="preserve"> </w:t>
      </w:r>
      <w:r w:rsidRPr="008841EE">
        <w:rPr>
          <w:rFonts w:asciiTheme="minorBidi" w:eastAsia="Times New Roman" w:hAnsiTheme="minorBidi"/>
          <w:b/>
          <w:bCs/>
          <w:sz w:val="28"/>
          <w:szCs w:val="28"/>
          <w:rtl/>
        </w:rPr>
        <w:t>المعيار الأول</w:t>
      </w:r>
      <w:r w:rsidRPr="008841EE">
        <w:rPr>
          <w:rFonts w:asciiTheme="minorBidi" w:eastAsia="Times New Roman" w:hAnsiTheme="minorBidi"/>
          <w:sz w:val="28"/>
          <w:szCs w:val="28"/>
          <w:rtl/>
        </w:rPr>
        <w:t xml:space="preserve"> هو تقسيمه بالنظر إلى </w:t>
      </w:r>
      <w:r w:rsidRPr="008841EE">
        <w:rPr>
          <w:rFonts w:asciiTheme="minorBidi" w:eastAsia="Times New Roman" w:hAnsiTheme="minorBidi"/>
          <w:b/>
          <w:bCs/>
          <w:sz w:val="28"/>
          <w:szCs w:val="28"/>
          <w:rtl/>
        </w:rPr>
        <w:t>صفة الفاعل</w:t>
      </w:r>
      <w:r w:rsidRPr="008841EE">
        <w:rPr>
          <w:rFonts w:asciiTheme="minorBidi" w:eastAsia="Times New Roman" w:hAnsiTheme="minorBidi"/>
          <w:sz w:val="28"/>
          <w:szCs w:val="28"/>
          <w:rtl/>
        </w:rPr>
        <w:t xml:space="preserve"> وهم على ثلاثة أنواع : </w:t>
      </w:r>
    </w:p>
    <w:p w:rsidR="008841EE" w:rsidRPr="008841EE" w:rsidRDefault="008841EE" w:rsidP="008841EE">
      <w:pPr>
        <w:spacing w:after="0" w:line="240" w:lineRule="auto"/>
        <w:ind w:firstLine="284"/>
        <w:jc w:val="lowKashida"/>
        <w:rPr>
          <w:rFonts w:asciiTheme="minorBidi" w:eastAsia="Times New Roman" w:hAnsiTheme="minorBidi"/>
          <w:sz w:val="28"/>
          <w:szCs w:val="28"/>
          <w:rtl/>
        </w:rPr>
      </w:pPr>
      <w:r w:rsidRPr="008841EE">
        <w:rPr>
          <w:rFonts w:asciiTheme="minorBidi" w:eastAsia="Times New Roman" w:hAnsiTheme="minorBidi" w:hint="cs"/>
          <w:sz w:val="28"/>
          <w:szCs w:val="28"/>
          <w:rtl/>
        </w:rPr>
        <w:lastRenderedPageBreak/>
        <w:t>أ</w:t>
      </w:r>
      <w:r w:rsidRPr="008841EE">
        <w:rPr>
          <w:rFonts w:asciiTheme="minorBidi" w:eastAsia="Times New Roman" w:hAnsiTheme="minorBidi"/>
          <w:sz w:val="28"/>
          <w:szCs w:val="28"/>
          <w:rtl/>
        </w:rPr>
        <w:t xml:space="preserve"> – المتهم البريء : وهو من المشهود له بالتقوى والصلاح وحسن السيرة، أي بعيد كل البعد عن موطن الشبهات، فهو ليس أهلاً للتهمة التي نسبت إليه، مثال ذلك إن يتهم امرأة معروفة بالتقوى وحسن السيرة بالزنا . </w:t>
      </w:r>
    </w:p>
    <w:p w:rsidR="008841EE" w:rsidRPr="008841EE" w:rsidRDefault="008841EE" w:rsidP="008841EE">
      <w:pPr>
        <w:spacing w:after="0" w:line="240" w:lineRule="auto"/>
        <w:ind w:firstLine="284"/>
        <w:jc w:val="lowKashida"/>
        <w:rPr>
          <w:rFonts w:asciiTheme="minorBidi" w:eastAsia="Times New Roman" w:hAnsiTheme="minorBidi"/>
          <w:sz w:val="28"/>
          <w:szCs w:val="28"/>
          <w:rtl/>
        </w:rPr>
      </w:pPr>
      <w:r w:rsidRPr="008841EE">
        <w:rPr>
          <w:rFonts w:asciiTheme="minorBidi" w:eastAsia="Times New Roman" w:hAnsiTheme="minorBidi" w:hint="cs"/>
          <w:sz w:val="28"/>
          <w:szCs w:val="28"/>
          <w:rtl/>
        </w:rPr>
        <w:t>ب</w:t>
      </w:r>
      <w:r w:rsidRPr="008841EE">
        <w:rPr>
          <w:rFonts w:asciiTheme="minorBidi" w:eastAsia="Times New Roman" w:hAnsiTheme="minorBidi"/>
          <w:sz w:val="28"/>
          <w:szCs w:val="28"/>
          <w:rtl/>
        </w:rPr>
        <w:t xml:space="preserve"> – المتهم المعروف بالفجور : وهو من أشتهر </w:t>
      </w:r>
      <w:proofErr w:type="spellStart"/>
      <w:r w:rsidRPr="008841EE">
        <w:rPr>
          <w:rFonts w:asciiTheme="minorBidi" w:eastAsia="Times New Roman" w:hAnsiTheme="minorBidi"/>
          <w:sz w:val="28"/>
          <w:szCs w:val="28"/>
          <w:rtl/>
        </w:rPr>
        <w:t>بأرتكاب</w:t>
      </w:r>
      <w:proofErr w:type="spellEnd"/>
      <w:r w:rsidRPr="008841EE">
        <w:rPr>
          <w:rFonts w:asciiTheme="minorBidi" w:eastAsia="Times New Roman" w:hAnsiTheme="minorBidi"/>
          <w:sz w:val="28"/>
          <w:szCs w:val="28"/>
          <w:rtl/>
        </w:rPr>
        <w:t xml:space="preserve"> الجرائم والمعاصي، أي أنه أهلاً للتهمة التي نسبت له، ولقد </w:t>
      </w:r>
      <w:proofErr w:type="spellStart"/>
      <w:r w:rsidRPr="008841EE">
        <w:rPr>
          <w:rFonts w:asciiTheme="minorBidi" w:eastAsia="Times New Roman" w:hAnsiTheme="minorBidi"/>
          <w:sz w:val="28"/>
          <w:szCs w:val="28"/>
          <w:rtl/>
        </w:rPr>
        <w:t>إستعان</w:t>
      </w:r>
      <w:proofErr w:type="spellEnd"/>
      <w:r w:rsidRPr="008841EE">
        <w:rPr>
          <w:rFonts w:asciiTheme="minorBidi" w:eastAsia="Times New Roman" w:hAnsiTheme="minorBidi"/>
          <w:sz w:val="28"/>
          <w:szCs w:val="28"/>
          <w:rtl/>
        </w:rPr>
        <w:t xml:space="preserve">  الفقهاء ببعض الضوابط في </w:t>
      </w:r>
      <w:r w:rsidRPr="008841EE">
        <w:rPr>
          <w:rFonts w:asciiTheme="minorBidi" w:eastAsia="Times New Roman" w:hAnsiTheme="minorBidi" w:hint="cs"/>
          <w:sz w:val="28"/>
          <w:szCs w:val="28"/>
          <w:rtl/>
        </w:rPr>
        <w:t>إظهار</w:t>
      </w:r>
      <w:r w:rsidRPr="008841EE">
        <w:rPr>
          <w:rFonts w:asciiTheme="minorBidi" w:eastAsia="Times New Roman" w:hAnsiTheme="minorBidi"/>
          <w:sz w:val="28"/>
          <w:szCs w:val="28"/>
          <w:rtl/>
        </w:rPr>
        <w:t xml:space="preserve"> ذلك النوع من المتهمين وهي : المباشرة الفعلية للمعاصي، أن مجرد توقع </w:t>
      </w:r>
      <w:proofErr w:type="spellStart"/>
      <w:r w:rsidRPr="008841EE">
        <w:rPr>
          <w:rFonts w:asciiTheme="minorBidi" w:eastAsia="Times New Roman" w:hAnsiTheme="minorBidi"/>
          <w:sz w:val="28"/>
          <w:szCs w:val="28"/>
          <w:rtl/>
        </w:rPr>
        <w:t>أرتكاب</w:t>
      </w:r>
      <w:proofErr w:type="spellEnd"/>
      <w:r w:rsidRPr="008841EE">
        <w:rPr>
          <w:rFonts w:asciiTheme="minorBidi" w:eastAsia="Times New Roman" w:hAnsiTheme="minorBidi"/>
          <w:sz w:val="28"/>
          <w:szCs w:val="28"/>
          <w:rtl/>
        </w:rPr>
        <w:t xml:space="preserve"> الشخص للمعصية لا يكون مسوغاً </w:t>
      </w:r>
      <w:proofErr w:type="spellStart"/>
      <w:r w:rsidRPr="008841EE">
        <w:rPr>
          <w:rFonts w:asciiTheme="minorBidi" w:eastAsia="Times New Roman" w:hAnsiTheme="minorBidi"/>
          <w:sz w:val="28"/>
          <w:szCs w:val="28"/>
          <w:rtl/>
        </w:rPr>
        <w:t>لإتصافه</w:t>
      </w:r>
      <w:proofErr w:type="spellEnd"/>
      <w:r w:rsidRPr="008841EE">
        <w:rPr>
          <w:rFonts w:asciiTheme="minorBidi" w:eastAsia="Times New Roman" w:hAnsiTheme="minorBidi"/>
          <w:sz w:val="28"/>
          <w:szCs w:val="28"/>
          <w:rtl/>
        </w:rPr>
        <w:t xml:space="preserve"> بالفجور، وتكرار وقوع المعصية من الشخص نفسه، اُتخذ من ذلك معياراً لوصف المتهم بالفجور، إذ أن </w:t>
      </w:r>
      <w:proofErr w:type="spellStart"/>
      <w:r w:rsidRPr="008841EE">
        <w:rPr>
          <w:rFonts w:asciiTheme="minorBidi" w:eastAsia="Times New Roman" w:hAnsiTheme="minorBidi"/>
          <w:sz w:val="28"/>
          <w:szCs w:val="28"/>
          <w:rtl/>
        </w:rPr>
        <w:t>أرتكاب</w:t>
      </w:r>
      <w:proofErr w:type="spellEnd"/>
      <w:r w:rsidRPr="008841EE">
        <w:rPr>
          <w:rFonts w:asciiTheme="minorBidi" w:eastAsia="Times New Roman" w:hAnsiTheme="minorBidi"/>
          <w:sz w:val="28"/>
          <w:szCs w:val="28"/>
          <w:rtl/>
        </w:rPr>
        <w:t xml:space="preserve"> الفعل لمرة واحدة لا يجعل صاحبه من المجرمين المعتادين . </w:t>
      </w:r>
    </w:p>
    <w:p w:rsidR="008841EE" w:rsidRPr="008841EE" w:rsidRDefault="008841EE" w:rsidP="008841EE">
      <w:pPr>
        <w:keepNext/>
        <w:widowControl w:val="0"/>
        <w:spacing w:after="0" w:line="240" w:lineRule="auto"/>
        <w:jc w:val="lowKashida"/>
        <w:rPr>
          <w:rFonts w:asciiTheme="minorBidi" w:eastAsia="Times New Roman" w:hAnsiTheme="minorBidi"/>
          <w:sz w:val="28"/>
          <w:szCs w:val="28"/>
          <w:rtl/>
        </w:rPr>
      </w:pPr>
      <w:r w:rsidRPr="008841EE">
        <w:rPr>
          <w:rFonts w:asciiTheme="minorBidi" w:eastAsia="Times New Roman" w:hAnsiTheme="minorBidi"/>
          <w:sz w:val="28"/>
          <w:szCs w:val="28"/>
          <w:rtl/>
        </w:rPr>
        <w:t xml:space="preserve">وقد أختلف فقهاء المسلمين في طريقة التعامل مع هذا النوع من المتهمين " إذ قال البعض بجواز حبسه فقط دون ضربه، وقال آخرون بجواز حبسه وضربه، وأختلف </w:t>
      </w:r>
      <w:r w:rsidRPr="008841EE">
        <w:rPr>
          <w:rFonts w:asciiTheme="minorBidi" w:eastAsia="Times New Roman" w:hAnsiTheme="minorBidi" w:hint="cs"/>
          <w:sz w:val="28"/>
          <w:szCs w:val="28"/>
          <w:rtl/>
        </w:rPr>
        <w:t>هؤلاء</w:t>
      </w:r>
      <w:r w:rsidRPr="008841EE">
        <w:rPr>
          <w:rFonts w:asciiTheme="minorBidi" w:eastAsia="Times New Roman" w:hAnsiTheme="minorBidi"/>
          <w:sz w:val="28"/>
          <w:szCs w:val="28"/>
          <w:rtl/>
        </w:rPr>
        <w:t xml:space="preserve">  أيضاً في من يتولى الضرب والحبس، </w:t>
      </w:r>
      <w:proofErr w:type="spellStart"/>
      <w:r w:rsidRPr="008841EE">
        <w:rPr>
          <w:rFonts w:asciiTheme="minorBidi" w:eastAsia="Times New Roman" w:hAnsiTheme="minorBidi"/>
          <w:sz w:val="28"/>
          <w:szCs w:val="28"/>
          <w:rtl/>
        </w:rPr>
        <w:t>وإنقسموا</w:t>
      </w:r>
      <w:proofErr w:type="spellEnd"/>
      <w:r w:rsidRPr="008841EE">
        <w:rPr>
          <w:rFonts w:asciiTheme="minorBidi" w:eastAsia="Times New Roman" w:hAnsiTheme="minorBidi"/>
          <w:sz w:val="28"/>
          <w:szCs w:val="28"/>
          <w:rtl/>
        </w:rPr>
        <w:t xml:space="preserve"> إلى فريقين، الأول أعطى هذا الحق للوالي والقاضي، أما الفريق الثاني أعطى هذا الحق للوالي دون القاضي، </w:t>
      </w:r>
      <w:proofErr w:type="spellStart"/>
      <w:r w:rsidRPr="008841EE">
        <w:rPr>
          <w:rFonts w:asciiTheme="minorBidi" w:eastAsia="Times New Roman" w:hAnsiTheme="minorBidi"/>
          <w:sz w:val="28"/>
          <w:szCs w:val="28"/>
          <w:rtl/>
        </w:rPr>
        <w:t>وأختلفوا</w:t>
      </w:r>
      <w:proofErr w:type="spellEnd"/>
      <w:r w:rsidRPr="008841EE">
        <w:rPr>
          <w:rFonts w:asciiTheme="minorBidi" w:eastAsia="Times New Roman" w:hAnsiTheme="minorBidi"/>
          <w:sz w:val="28"/>
          <w:szCs w:val="28"/>
          <w:rtl/>
        </w:rPr>
        <w:t xml:space="preserve"> في أمكانية تحليف المتهم المعروف بالفجور اليمين بين من أجاز ذلك وبين لم يجزه "</w:t>
      </w:r>
      <w:r w:rsidRPr="008841EE">
        <w:rPr>
          <w:rFonts w:asciiTheme="minorBidi" w:eastAsia="Times New Roman" w:hAnsiTheme="minorBidi"/>
          <w:sz w:val="28"/>
          <w:szCs w:val="28"/>
          <w:vertAlign w:val="superscript"/>
          <w:rtl/>
          <w:lang w:bidi="ar-IQ"/>
        </w:rPr>
        <w:t>(</w:t>
      </w:r>
      <w:r w:rsidRPr="008841EE">
        <w:rPr>
          <w:rFonts w:asciiTheme="minorBidi" w:eastAsia="Times New Roman" w:hAnsiTheme="minorBidi"/>
          <w:sz w:val="28"/>
          <w:szCs w:val="28"/>
          <w:vertAlign w:val="superscript"/>
          <w:rtl/>
          <w:lang w:bidi="ar-IQ"/>
        </w:rPr>
        <w:footnoteReference w:id="1"/>
      </w:r>
      <w:r w:rsidRPr="008841EE">
        <w:rPr>
          <w:rFonts w:asciiTheme="minorBidi" w:eastAsia="Times New Roman" w:hAnsiTheme="minorBidi"/>
          <w:sz w:val="28"/>
          <w:szCs w:val="28"/>
          <w:vertAlign w:val="superscript"/>
          <w:rtl/>
          <w:lang w:bidi="ar-IQ"/>
        </w:rPr>
        <w:t>)</w:t>
      </w:r>
      <w:r w:rsidRPr="008841EE">
        <w:rPr>
          <w:rFonts w:asciiTheme="minorBidi" w:eastAsia="Times New Roman" w:hAnsiTheme="minorBidi"/>
          <w:sz w:val="28"/>
          <w:szCs w:val="28"/>
          <w:rtl/>
        </w:rPr>
        <w:t xml:space="preserve"> .</w:t>
      </w:r>
    </w:p>
    <w:p w:rsidR="008841EE" w:rsidRPr="008841EE" w:rsidRDefault="008841EE" w:rsidP="008841EE">
      <w:pPr>
        <w:spacing w:after="0" w:line="240" w:lineRule="auto"/>
        <w:ind w:firstLine="284"/>
        <w:jc w:val="lowKashida"/>
        <w:rPr>
          <w:rFonts w:asciiTheme="minorBidi" w:eastAsia="Times New Roman" w:hAnsiTheme="minorBidi"/>
          <w:sz w:val="28"/>
          <w:szCs w:val="28"/>
          <w:rtl/>
        </w:rPr>
      </w:pPr>
      <w:r w:rsidRPr="008841EE">
        <w:rPr>
          <w:rFonts w:asciiTheme="minorBidi" w:eastAsia="Times New Roman" w:hAnsiTheme="minorBidi"/>
          <w:sz w:val="28"/>
          <w:szCs w:val="28"/>
          <w:rtl/>
        </w:rPr>
        <w:t xml:space="preserve">ج – المتهم مجهول الحال : </w:t>
      </w:r>
    </w:p>
    <w:p w:rsidR="008841EE" w:rsidRPr="008841EE" w:rsidRDefault="008841EE" w:rsidP="008841EE">
      <w:pPr>
        <w:spacing w:after="0" w:line="240" w:lineRule="auto"/>
        <w:ind w:firstLine="284"/>
        <w:jc w:val="lowKashida"/>
        <w:rPr>
          <w:rFonts w:asciiTheme="minorBidi" w:eastAsia="Times New Roman" w:hAnsiTheme="minorBidi"/>
          <w:sz w:val="28"/>
          <w:szCs w:val="28"/>
          <w:rtl/>
        </w:rPr>
      </w:pPr>
      <w:r w:rsidRPr="008841EE">
        <w:rPr>
          <w:rFonts w:asciiTheme="minorBidi" w:eastAsia="Times New Roman" w:hAnsiTheme="minorBidi"/>
          <w:sz w:val="28"/>
          <w:szCs w:val="28"/>
          <w:rtl/>
        </w:rPr>
        <w:t xml:space="preserve">وهو من لا يعرف بره أو تقوه، وهؤلاء يرجح بحقهم جانب </w:t>
      </w:r>
      <w:proofErr w:type="spellStart"/>
      <w:r w:rsidRPr="008841EE">
        <w:rPr>
          <w:rFonts w:asciiTheme="minorBidi" w:eastAsia="Times New Roman" w:hAnsiTheme="minorBidi"/>
          <w:sz w:val="28"/>
          <w:szCs w:val="28"/>
          <w:rtl/>
        </w:rPr>
        <w:t>الإتهام</w:t>
      </w:r>
      <w:proofErr w:type="spellEnd"/>
      <w:r w:rsidRPr="008841EE">
        <w:rPr>
          <w:rFonts w:asciiTheme="minorBidi" w:eastAsia="Times New Roman" w:hAnsiTheme="minorBidi"/>
          <w:sz w:val="28"/>
          <w:szCs w:val="28"/>
          <w:rtl/>
        </w:rPr>
        <w:t xml:space="preserve"> على جانب البراءة، وأجاز الفقهاء حبسه حتى يتبين لهم حاله، على أن لا تطول المدة .</w:t>
      </w:r>
    </w:p>
    <w:p w:rsidR="008841EE" w:rsidRPr="008841EE" w:rsidRDefault="008841EE" w:rsidP="008841EE">
      <w:pPr>
        <w:spacing w:after="0" w:line="240" w:lineRule="auto"/>
        <w:ind w:firstLine="284"/>
        <w:jc w:val="lowKashida"/>
        <w:rPr>
          <w:rFonts w:asciiTheme="minorBidi" w:eastAsia="Times New Roman" w:hAnsiTheme="minorBidi"/>
          <w:sz w:val="28"/>
          <w:szCs w:val="28"/>
          <w:rtl/>
        </w:rPr>
      </w:pPr>
    </w:p>
    <w:p w:rsidR="008841EE" w:rsidRPr="008841EE" w:rsidRDefault="008841EE" w:rsidP="008841EE">
      <w:pPr>
        <w:spacing w:after="0" w:line="240" w:lineRule="auto"/>
        <w:ind w:firstLine="284"/>
        <w:jc w:val="lowKashida"/>
        <w:rPr>
          <w:rFonts w:asciiTheme="minorBidi" w:eastAsia="Times New Roman" w:hAnsiTheme="minorBidi"/>
          <w:sz w:val="28"/>
          <w:szCs w:val="28"/>
          <w:rtl/>
        </w:rPr>
      </w:pPr>
      <w:r w:rsidRPr="008841EE">
        <w:rPr>
          <w:rFonts w:asciiTheme="minorBidi" w:eastAsia="Times New Roman" w:hAnsiTheme="minorBidi"/>
          <w:sz w:val="28"/>
          <w:szCs w:val="28"/>
          <w:rtl/>
        </w:rPr>
        <w:t xml:space="preserve">إما </w:t>
      </w:r>
      <w:r w:rsidRPr="008841EE">
        <w:rPr>
          <w:rFonts w:asciiTheme="minorBidi" w:eastAsia="Times New Roman" w:hAnsiTheme="minorBidi"/>
          <w:b/>
          <w:bCs/>
          <w:sz w:val="28"/>
          <w:szCs w:val="28"/>
          <w:rtl/>
        </w:rPr>
        <w:t>المعيار الثاني</w:t>
      </w:r>
      <w:r w:rsidRPr="008841EE">
        <w:rPr>
          <w:rFonts w:asciiTheme="minorBidi" w:eastAsia="Times New Roman" w:hAnsiTheme="minorBidi"/>
          <w:sz w:val="28"/>
          <w:szCs w:val="28"/>
          <w:rtl/>
        </w:rPr>
        <w:t xml:space="preserve"> هو تقسيم المتهمين </w:t>
      </w:r>
      <w:r w:rsidRPr="008841EE">
        <w:rPr>
          <w:rFonts w:asciiTheme="minorBidi" w:eastAsia="Times New Roman" w:hAnsiTheme="minorBidi"/>
          <w:b/>
          <w:bCs/>
          <w:sz w:val="28"/>
          <w:szCs w:val="28"/>
          <w:rtl/>
        </w:rPr>
        <w:t>بالنظر على نوع الفعل</w:t>
      </w:r>
      <w:r w:rsidRPr="008841EE">
        <w:rPr>
          <w:rFonts w:asciiTheme="minorBidi" w:eastAsia="Times New Roman" w:hAnsiTheme="minorBidi"/>
          <w:sz w:val="28"/>
          <w:szCs w:val="28"/>
          <w:rtl/>
        </w:rPr>
        <w:t xml:space="preserve"> إلى : </w:t>
      </w:r>
    </w:p>
    <w:p w:rsidR="008841EE" w:rsidRPr="008841EE" w:rsidRDefault="008841EE" w:rsidP="008841EE">
      <w:pPr>
        <w:spacing w:after="0" w:line="240" w:lineRule="auto"/>
        <w:ind w:firstLine="284"/>
        <w:jc w:val="lowKashida"/>
        <w:rPr>
          <w:rFonts w:asciiTheme="minorBidi" w:eastAsia="Times New Roman" w:hAnsiTheme="minorBidi"/>
          <w:sz w:val="28"/>
          <w:szCs w:val="28"/>
          <w:rtl/>
        </w:rPr>
      </w:pPr>
      <w:r w:rsidRPr="008841EE">
        <w:rPr>
          <w:rFonts w:asciiTheme="minorBidi" w:eastAsia="Times New Roman" w:hAnsiTheme="minorBidi" w:hint="cs"/>
          <w:sz w:val="28"/>
          <w:szCs w:val="28"/>
          <w:rtl/>
        </w:rPr>
        <w:t>أ</w:t>
      </w:r>
      <w:r w:rsidRPr="008841EE">
        <w:rPr>
          <w:rFonts w:asciiTheme="minorBidi" w:eastAsia="Times New Roman" w:hAnsiTheme="minorBidi"/>
          <w:sz w:val="28"/>
          <w:szCs w:val="28"/>
          <w:rtl/>
        </w:rPr>
        <w:t xml:space="preserve"> – متهم </w:t>
      </w:r>
      <w:proofErr w:type="spellStart"/>
      <w:r w:rsidRPr="008841EE">
        <w:rPr>
          <w:rFonts w:asciiTheme="minorBidi" w:eastAsia="Times New Roman" w:hAnsiTheme="minorBidi"/>
          <w:sz w:val="28"/>
          <w:szCs w:val="28"/>
          <w:rtl/>
        </w:rPr>
        <w:t>بأرتكاب</w:t>
      </w:r>
      <w:proofErr w:type="spellEnd"/>
      <w:r w:rsidRPr="008841EE">
        <w:rPr>
          <w:rFonts w:asciiTheme="minorBidi" w:eastAsia="Times New Roman" w:hAnsiTheme="minorBidi"/>
          <w:sz w:val="28"/>
          <w:szCs w:val="28"/>
          <w:rtl/>
        </w:rPr>
        <w:t xml:space="preserve"> الحدود والجرائم الخطيرة .</w:t>
      </w:r>
    </w:p>
    <w:p w:rsidR="008841EE" w:rsidRPr="008841EE" w:rsidRDefault="008841EE" w:rsidP="008841EE">
      <w:pPr>
        <w:spacing w:after="0" w:line="240" w:lineRule="auto"/>
        <w:ind w:firstLine="284"/>
        <w:jc w:val="lowKashida"/>
        <w:rPr>
          <w:rFonts w:asciiTheme="minorBidi" w:eastAsia="Times New Roman" w:hAnsiTheme="minorBidi"/>
          <w:sz w:val="28"/>
          <w:szCs w:val="28"/>
          <w:rtl/>
        </w:rPr>
      </w:pPr>
      <w:r w:rsidRPr="008841EE">
        <w:rPr>
          <w:rFonts w:asciiTheme="minorBidi" w:eastAsia="Times New Roman" w:hAnsiTheme="minorBidi" w:hint="cs"/>
          <w:sz w:val="28"/>
          <w:szCs w:val="28"/>
          <w:rtl/>
        </w:rPr>
        <w:t>ب</w:t>
      </w:r>
      <w:r w:rsidRPr="008841EE">
        <w:rPr>
          <w:rFonts w:asciiTheme="minorBidi" w:eastAsia="Times New Roman" w:hAnsiTheme="minorBidi"/>
          <w:sz w:val="28"/>
          <w:szCs w:val="28"/>
          <w:rtl/>
        </w:rPr>
        <w:t xml:space="preserve"> – متهم </w:t>
      </w:r>
      <w:proofErr w:type="spellStart"/>
      <w:r w:rsidRPr="008841EE">
        <w:rPr>
          <w:rFonts w:asciiTheme="minorBidi" w:eastAsia="Times New Roman" w:hAnsiTheme="minorBidi"/>
          <w:sz w:val="28"/>
          <w:szCs w:val="28"/>
          <w:rtl/>
        </w:rPr>
        <w:t>بأرتكاب</w:t>
      </w:r>
      <w:proofErr w:type="spellEnd"/>
      <w:r w:rsidRPr="008841EE">
        <w:rPr>
          <w:rFonts w:asciiTheme="minorBidi" w:eastAsia="Times New Roman" w:hAnsiTheme="minorBidi"/>
          <w:sz w:val="28"/>
          <w:szCs w:val="28"/>
          <w:rtl/>
        </w:rPr>
        <w:t xml:space="preserve"> جرائم تعزيرية لا توصف بالخطورة، ولا تصل إلى مرتبة جرائم الحدود والقصاص، إلاَ أن هذا التقسيم قليل الأهمية .</w:t>
      </w:r>
    </w:p>
    <w:p w:rsidR="008841EE" w:rsidRPr="008841EE" w:rsidRDefault="008841EE" w:rsidP="008841EE">
      <w:pPr>
        <w:spacing w:after="0" w:line="240" w:lineRule="auto"/>
        <w:rPr>
          <w:rFonts w:ascii="Times New Roman" w:eastAsia="Times New Roman" w:hAnsi="Times New Roman" w:cs="MCS Jeddah S_U normal."/>
          <w:b/>
          <w:bCs/>
          <w:sz w:val="20"/>
          <w:szCs w:val="36"/>
          <w:rtl/>
        </w:rPr>
      </w:pPr>
    </w:p>
    <w:p w:rsidR="00C20E54" w:rsidRPr="00B87747" w:rsidRDefault="00C20E54">
      <w:bookmarkStart w:id="0" w:name="_GoBack"/>
      <w:bookmarkEnd w:id="0"/>
    </w:p>
    <w:sectPr w:rsidR="00C20E54" w:rsidRPr="00B87747" w:rsidSect="00F86DE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F1E" w:rsidRDefault="00DB6F1E" w:rsidP="006D374C">
      <w:pPr>
        <w:spacing w:after="0" w:line="240" w:lineRule="auto"/>
      </w:pPr>
      <w:r>
        <w:separator/>
      </w:r>
    </w:p>
  </w:endnote>
  <w:endnote w:type="continuationSeparator" w:id="0">
    <w:p w:rsidR="00DB6F1E" w:rsidRDefault="00DB6F1E" w:rsidP="006D37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e Bold Jut Out">
    <w:panose1 w:val="02010401010101010101"/>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PT Bold Heading">
    <w:panose1 w:val="02010400000000000000"/>
    <w:charset w:val="B2"/>
    <w:family w:val="auto"/>
    <w:pitch w:val="variable"/>
    <w:sig w:usb0="00002001" w:usb1="80000000" w:usb2="00000008" w:usb3="00000000" w:csb0="00000040" w:csb1="00000000"/>
  </w:font>
  <w:font w:name="MCS Jeddah S_U normal.">
    <w:altName w:val="Times New Roman"/>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F1E" w:rsidRDefault="00DB6F1E" w:rsidP="006D374C">
      <w:pPr>
        <w:spacing w:after="0" w:line="240" w:lineRule="auto"/>
      </w:pPr>
      <w:r>
        <w:separator/>
      </w:r>
    </w:p>
  </w:footnote>
  <w:footnote w:type="continuationSeparator" w:id="0">
    <w:p w:rsidR="00DB6F1E" w:rsidRDefault="00DB6F1E" w:rsidP="006D374C">
      <w:pPr>
        <w:spacing w:after="0" w:line="240" w:lineRule="auto"/>
      </w:pPr>
      <w:r>
        <w:continuationSeparator/>
      </w:r>
    </w:p>
  </w:footnote>
  <w:footnote w:id="1">
    <w:p w:rsidR="008841EE" w:rsidRPr="002E2950" w:rsidRDefault="008841EE" w:rsidP="008841EE">
      <w:pPr>
        <w:pStyle w:val="a4"/>
        <w:jc w:val="lowKashida"/>
        <w:rPr>
          <w:color w:val="000000"/>
          <w:sz w:val="24"/>
          <w:shd w:val="clear" w:color="auto" w:fill="FFFFFF"/>
        </w:rPr>
      </w:pPr>
    </w:p>
    <w:p w:rsidR="008841EE" w:rsidRPr="002E2950" w:rsidRDefault="008841EE" w:rsidP="008841EE">
      <w:pPr>
        <w:pStyle w:val="a4"/>
        <w:jc w:val="lowKashida"/>
        <w:rPr>
          <w:color w:val="000000"/>
          <w:sz w:val="24"/>
          <w:shd w:val="clear" w:color="auto" w:fill="FFFFFF"/>
          <w:rt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7A22A8"/>
    <w:multiLevelType w:val="hybridMultilevel"/>
    <w:tmpl w:val="21CCF25A"/>
    <w:lvl w:ilvl="0" w:tplc="E85A59B6">
      <w:start w:val="1"/>
      <w:numFmt w:val="decimal"/>
      <w:lvlText w:val="%1-"/>
      <w:lvlJc w:val="left"/>
      <w:pPr>
        <w:ind w:left="573" w:hanging="360"/>
      </w:pPr>
      <w:rPr>
        <w:rFonts w:hint="default"/>
        <w:b/>
        <w:bCs/>
      </w:rPr>
    </w:lvl>
    <w:lvl w:ilvl="1" w:tplc="04090019" w:tentative="1">
      <w:start w:val="1"/>
      <w:numFmt w:val="lowerLetter"/>
      <w:lvlText w:val="%2."/>
      <w:lvlJc w:val="left"/>
      <w:pPr>
        <w:ind w:left="1293" w:hanging="360"/>
      </w:pPr>
    </w:lvl>
    <w:lvl w:ilvl="2" w:tplc="0409001B" w:tentative="1">
      <w:start w:val="1"/>
      <w:numFmt w:val="lowerRoman"/>
      <w:lvlText w:val="%3."/>
      <w:lvlJc w:val="right"/>
      <w:pPr>
        <w:ind w:left="2013" w:hanging="180"/>
      </w:pPr>
    </w:lvl>
    <w:lvl w:ilvl="3" w:tplc="0409000F" w:tentative="1">
      <w:start w:val="1"/>
      <w:numFmt w:val="decimal"/>
      <w:lvlText w:val="%4."/>
      <w:lvlJc w:val="left"/>
      <w:pPr>
        <w:ind w:left="2733" w:hanging="360"/>
      </w:pPr>
    </w:lvl>
    <w:lvl w:ilvl="4" w:tplc="04090019" w:tentative="1">
      <w:start w:val="1"/>
      <w:numFmt w:val="lowerLetter"/>
      <w:lvlText w:val="%5."/>
      <w:lvlJc w:val="left"/>
      <w:pPr>
        <w:ind w:left="3453" w:hanging="360"/>
      </w:pPr>
    </w:lvl>
    <w:lvl w:ilvl="5" w:tplc="0409001B" w:tentative="1">
      <w:start w:val="1"/>
      <w:numFmt w:val="lowerRoman"/>
      <w:lvlText w:val="%6."/>
      <w:lvlJc w:val="right"/>
      <w:pPr>
        <w:ind w:left="4173" w:hanging="180"/>
      </w:pPr>
    </w:lvl>
    <w:lvl w:ilvl="6" w:tplc="0409000F" w:tentative="1">
      <w:start w:val="1"/>
      <w:numFmt w:val="decimal"/>
      <w:lvlText w:val="%7."/>
      <w:lvlJc w:val="left"/>
      <w:pPr>
        <w:ind w:left="4893" w:hanging="360"/>
      </w:pPr>
    </w:lvl>
    <w:lvl w:ilvl="7" w:tplc="04090019" w:tentative="1">
      <w:start w:val="1"/>
      <w:numFmt w:val="lowerLetter"/>
      <w:lvlText w:val="%8."/>
      <w:lvlJc w:val="left"/>
      <w:pPr>
        <w:ind w:left="5613" w:hanging="360"/>
      </w:pPr>
    </w:lvl>
    <w:lvl w:ilvl="8" w:tplc="0409001B" w:tentative="1">
      <w:start w:val="1"/>
      <w:numFmt w:val="lowerRoman"/>
      <w:lvlText w:val="%9."/>
      <w:lvlJc w:val="right"/>
      <w:pPr>
        <w:ind w:left="6333" w:hanging="180"/>
      </w:pPr>
    </w:lvl>
  </w:abstractNum>
  <w:abstractNum w:abstractNumId="1">
    <w:nsid w:val="760C0B35"/>
    <w:multiLevelType w:val="hybridMultilevel"/>
    <w:tmpl w:val="29866260"/>
    <w:lvl w:ilvl="0" w:tplc="40740ED4">
      <w:start w:val="2"/>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89D"/>
    <w:rsid w:val="0005589D"/>
    <w:rsid w:val="001854F3"/>
    <w:rsid w:val="003973ED"/>
    <w:rsid w:val="0044715D"/>
    <w:rsid w:val="006D374C"/>
    <w:rsid w:val="008841EE"/>
    <w:rsid w:val="009B0584"/>
    <w:rsid w:val="00A66F79"/>
    <w:rsid w:val="00B87747"/>
    <w:rsid w:val="00BD4FF6"/>
    <w:rsid w:val="00BD547E"/>
    <w:rsid w:val="00C20E54"/>
    <w:rsid w:val="00DB6F1E"/>
    <w:rsid w:val="00E9103D"/>
    <w:rsid w:val="00F86D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3E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E9103D"/>
    <w:pPr>
      <w:ind w:left="720"/>
      <w:contextualSpacing/>
    </w:pPr>
    <w:rPr>
      <w:rFonts w:ascii="Calibri" w:eastAsia="Calibri" w:hAnsi="Calibri" w:cs="Arial"/>
    </w:rPr>
  </w:style>
  <w:style w:type="paragraph" w:styleId="a4">
    <w:name w:val="footnote text"/>
    <w:basedOn w:val="a"/>
    <w:link w:val="Char"/>
    <w:uiPriority w:val="99"/>
    <w:semiHidden/>
    <w:unhideWhenUsed/>
    <w:rsid w:val="006D374C"/>
    <w:pPr>
      <w:spacing w:after="0" w:line="240" w:lineRule="auto"/>
    </w:pPr>
    <w:rPr>
      <w:sz w:val="20"/>
      <w:szCs w:val="20"/>
    </w:rPr>
  </w:style>
  <w:style w:type="character" w:customStyle="1" w:styleId="Char">
    <w:name w:val="نص حاشية سفلية Char"/>
    <w:basedOn w:val="a0"/>
    <w:link w:val="a4"/>
    <w:uiPriority w:val="99"/>
    <w:semiHidden/>
    <w:rsid w:val="006D374C"/>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3E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E9103D"/>
    <w:pPr>
      <w:ind w:left="720"/>
      <w:contextualSpacing/>
    </w:pPr>
    <w:rPr>
      <w:rFonts w:ascii="Calibri" w:eastAsia="Calibri" w:hAnsi="Calibri" w:cs="Arial"/>
    </w:rPr>
  </w:style>
  <w:style w:type="paragraph" w:styleId="a4">
    <w:name w:val="footnote text"/>
    <w:basedOn w:val="a"/>
    <w:link w:val="Char"/>
    <w:uiPriority w:val="99"/>
    <w:semiHidden/>
    <w:unhideWhenUsed/>
    <w:rsid w:val="006D374C"/>
    <w:pPr>
      <w:spacing w:after="0" w:line="240" w:lineRule="auto"/>
    </w:pPr>
    <w:rPr>
      <w:sz w:val="20"/>
      <w:szCs w:val="20"/>
    </w:rPr>
  </w:style>
  <w:style w:type="character" w:customStyle="1" w:styleId="Char">
    <w:name w:val="نص حاشية سفلية Char"/>
    <w:basedOn w:val="a0"/>
    <w:link w:val="a4"/>
    <w:uiPriority w:val="99"/>
    <w:semiHidden/>
    <w:rsid w:val="006D374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3019</Characters>
  <Application>Microsoft Office Word</Application>
  <DocSecurity>0</DocSecurity>
  <Lines>25</Lines>
  <Paragraphs>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د.ضياء</dc:creator>
  <cp:lastModifiedBy>د.ضياء</cp:lastModifiedBy>
  <cp:revision>2</cp:revision>
  <dcterms:created xsi:type="dcterms:W3CDTF">2015-09-25T19:04:00Z</dcterms:created>
  <dcterms:modified xsi:type="dcterms:W3CDTF">2015-09-25T19:04:00Z</dcterms:modified>
</cp:coreProperties>
</file>