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ED" w:rsidRDefault="003973ED" w:rsidP="00A66F79">
      <w:pPr>
        <w:spacing w:after="0" w:line="240" w:lineRule="auto"/>
        <w:jc w:val="center"/>
        <w:rPr>
          <w:rFonts w:ascii="Arial" w:eastAsia="Times New Roman" w:hAnsi="Arial" w:cs="Simple Bold Jut Out" w:hint="cs"/>
          <w:sz w:val="36"/>
          <w:szCs w:val="36"/>
          <w:rtl/>
        </w:rPr>
      </w:pPr>
      <w:r>
        <w:rPr>
          <w:rFonts w:ascii="Arial" w:eastAsia="Times New Roman" w:hAnsi="Arial" w:cs="Simple Bold Jut Out" w:hint="cs"/>
          <w:sz w:val="36"/>
          <w:szCs w:val="36"/>
          <w:rtl/>
        </w:rPr>
        <w:t>المحاضرة 1</w:t>
      </w:r>
      <w:r w:rsidR="00A66F79">
        <w:rPr>
          <w:rFonts w:ascii="Arial" w:eastAsia="Times New Roman" w:hAnsi="Arial" w:cs="Simple Bold Jut Out" w:hint="cs"/>
          <w:sz w:val="36"/>
          <w:szCs w:val="36"/>
          <w:rtl/>
        </w:rPr>
        <w:t>2</w:t>
      </w:r>
    </w:p>
    <w:p w:rsidR="00A66F79" w:rsidRDefault="00A66F79" w:rsidP="00A66F79">
      <w:pPr>
        <w:spacing w:after="0" w:line="120" w:lineRule="atLeast"/>
        <w:ind w:right="57"/>
        <w:jc w:val="center"/>
        <w:outlineLvl w:val="8"/>
        <w:rPr>
          <w:rFonts w:asciiTheme="minorBidi" w:eastAsia="Times New Roman" w:hAnsiTheme="minorBidi" w:cs="Simple Bold Jut Out"/>
          <w:sz w:val="36"/>
          <w:szCs w:val="36"/>
          <w:rtl/>
          <w:lang w:bidi="ar-IQ"/>
        </w:rPr>
      </w:pPr>
      <w:r w:rsidRPr="00445F6F">
        <w:rPr>
          <w:rFonts w:asciiTheme="minorBidi" w:eastAsia="Times New Roman" w:hAnsiTheme="minorBidi" w:cs="Simple Bold Jut Out" w:hint="cs"/>
          <w:sz w:val="36"/>
          <w:szCs w:val="36"/>
          <w:rtl/>
          <w:lang w:bidi="ar-IQ"/>
        </w:rPr>
        <w:t>الادعاء العام</w:t>
      </w:r>
    </w:p>
    <w:p w:rsidR="00A66F79" w:rsidRDefault="00A66F79" w:rsidP="00A66F79">
      <w:pPr>
        <w:spacing w:after="0" w:line="120" w:lineRule="atLeast"/>
        <w:ind w:right="57"/>
        <w:jc w:val="both"/>
        <w:outlineLvl w:val="8"/>
        <w:rPr>
          <w:rFonts w:asciiTheme="minorBidi" w:eastAsia="Times New Roman" w:hAnsiTheme="minorBidi" w:cs="Simple Bold Jut Out"/>
          <w:sz w:val="36"/>
          <w:szCs w:val="36"/>
          <w:rtl/>
          <w:lang w:bidi="ar-IQ"/>
        </w:rPr>
      </w:pPr>
    </w:p>
    <w:p w:rsidR="00A66F79" w:rsidRDefault="00A66F79" w:rsidP="00A66F79">
      <w:pPr>
        <w:spacing w:after="0" w:line="120" w:lineRule="atLeast"/>
        <w:ind w:right="57"/>
        <w:jc w:val="both"/>
        <w:outlineLvl w:val="8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290227">
        <w:rPr>
          <w:rFonts w:asciiTheme="minorBidi" w:eastAsia="Times New Roman" w:hAnsiTheme="minorBidi"/>
          <w:sz w:val="28"/>
          <w:szCs w:val="28"/>
          <w:rtl/>
          <w:lang w:bidi="ar-IQ"/>
        </w:rPr>
        <w:t>الادعاء العام هو الجهاز الذي يتولى المطالبة بالحق العام نيابة عن الفرد والدولة في حالات حددها القانون،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290227">
        <w:rPr>
          <w:rFonts w:asciiTheme="minorBidi" w:eastAsia="Times New Roman" w:hAnsiTheme="minorBidi"/>
          <w:sz w:val="28"/>
          <w:szCs w:val="28"/>
          <w:rtl/>
          <w:lang w:bidi="ar-IQ"/>
        </w:rPr>
        <w:t>كونه الممثل الرسمي للدولة ،ويشترط في المدعي العام ما يشترط في القاضي من شروط ،كونهما خريجي المعهد القضائي،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290227">
        <w:rPr>
          <w:rFonts w:asciiTheme="minorBidi" w:eastAsia="Times New Roman" w:hAnsiTheme="minorBidi"/>
          <w:sz w:val="28"/>
          <w:szCs w:val="28"/>
          <w:rtl/>
          <w:lang w:bidi="ar-IQ"/>
        </w:rPr>
        <w:t>ويمتلك المدعي العام صلاحية قاضي التحقيق المختص عند غيابه،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290227">
        <w:rPr>
          <w:rFonts w:asciiTheme="minorBidi" w:eastAsia="Times New Roman" w:hAnsiTheme="minorBidi"/>
          <w:sz w:val="28"/>
          <w:szCs w:val="28"/>
          <w:rtl/>
          <w:lang w:bidi="ar-IQ"/>
        </w:rPr>
        <w:t>اذا ما كان حاضرا عند ارتكاب جريمة ما ،وله الحق في الاستمرار باتخاذ الاجراءات حتى حضور قاضي التحقيق المختص ومباشرته التحقيقي بنفسه،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290227">
        <w:rPr>
          <w:rFonts w:asciiTheme="minorBidi" w:eastAsia="Times New Roman" w:hAnsiTheme="minorBidi"/>
          <w:sz w:val="28"/>
          <w:szCs w:val="28"/>
          <w:rtl/>
          <w:lang w:bidi="ar-IQ"/>
        </w:rPr>
        <w:t>او الطلب منه الاستمرار في استكمال الاجراءات التي بدأها،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290227">
        <w:rPr>
          <w:rFonts w:asciiTheme="minorBidi" w:eastAsia="Times New Roman" w:hAnsiTheme="minorBidi"/>
          <w:sz w:val="28"/>
          <w:szCs w:val="28"/>
          <w:rtl/>
          <w:lang w:bidi="ar-IQ"/>
        </w:rPr>
        <w:t>ويعد ذلك الامر خروجاً على مبدأ الفصل بين سلطتي الاتهام والتحقيق في هذه الحالة،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290227">
        <w:rPr>
          <w:rFonts w:asciiTheme="minorBidi" w:eastAsia="Times New Roman" w:hAnsiTheme="minorBidi"/>
          <w:sz w:val="28"/>
          <w:szCs w:val="28"/>
          <w:rtl/>
          <w:lang w:bidi="ar-IQ"/>
        </w:rPr>
        <w:t>كون الادعاء العام يمثل سلطة الاتهام وقاضي التحقيق يتولى سلطة التحقيق.</w:t>
      </w:r>
    </w:p>
    <w:p w:rsidR="00A66F79" w:rsidRDefault="00A66F79" w:rsidP="00A66F79">
      <w:pPr>
        <w:spacing w:after="0" w:line="120" w:lineRule="atLeast"/>
        <w:ind w:right="57"/>
        <w:jc w:val="both"/>
        <w:outlineLvl w:val="8"/>
        <w:rPr>
          <w:rFonts w:asciiTheme="minorBidi" w:eastAsia="Times New Roman" w:hAnsiTheme="minorBidi"/>
          <w:sz w:val="28"/>
          <w:szCs w:val="28"/>
          <w:rtl/>
          <w:lang w:bidi="ar-IQ"/>
        </w:rPr>
      </w:pP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وتتمثل سلطة الادعاء العام وصلاحياته بالرقابة والاشراف على اعمال اعضاء الضبط القضائي ومحاسبتهم في مرحلة التحري وجمع الادلة،،ويضاف اليها تولى التحقيق وفقاً لنص المادة </w:t>
      </w:r>
      <w:r w:rsidRPr="006D0F0A">
        <w:rPr>
          <w:rFonts w:asciiTheme="minorBidi" w:eastAsia="Times New Roman" w:hAnsiTheme="minorBidi" w:hint="cs"/>
          <w:b/>
          <w:bCs/>
          <w:sz w:val="28"/>
          <w:szCs w:val="28"/>
          <w:rtl/>
          <w:lang w:bidi="ar-IQ"/>
        </w:rPr>
        <w:t>(3) من قانون الادعاء العام رقم (159) لسنة 1979 المعدل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>، والرقابة القانونية على اعمال وقرارات قاضي التحقيق، وحق الطعن فيها تمييزاً امام محكمة الجنايات بصفتها التمييزية..</w:t>
      </w:r>
    </w:p>
    <w:p w:rsidR="00A66F79" w:rsidRDefault="00A66F79" w:rsidP="00A66F79">
      <w:pPr>
        <w:spacing w:after="0" w:line="120" w:lineRule="atLeast"/>
        <w:ind w:right="57"/>
        <w:jc w:val="both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290227"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ويعمل نائب المدعي العام </w:t>
      </w:r>
      <w:r w:rsidRPr="00290227">
        <w:rPr>
          <w:rFonts w:ascii="Arial" w:eastAsia="Times New Roman" w:hAnsi="Arial" w:cs="Arial" w:hint="cs"/>
          <w:sz w:val="28"/>
          <w:szCs w:val="28"/>
          <w:rtl/>
          <w:lang w:bidi="ar-IQ"/>
        </w:rPr>
        <w:t>تحت اشراف ورقابة المدعي العام في المنطقة الاستئنافية</w:t>
      </w:r>
      <w:r>
        <w:rPr>
          <w:rFonts w:ascii="Arial" w:eastAsia="Times New Roman" w:hAnsi="Arial" w:cs="Arial" w:hint="cs"/>
          <w:sz w:val="28"/>
          <w:szCs w:val="28"/>
          <w:rtl/>
          <w:lang w:bidi="ar-IQ"/>
        </w:rPr>
        <w:t xml:space="preserve"> الاتحادية، وذلك بموجب قانون الادعاء العام سالف الذكر، ووفقاً للضوابط والتعاميم التي تصدرها رئاسة جهاز الادعاء العام .</w:t>
      </w:r>
    </w:p>
    <w:p w:rsidR="00A66F79" w:rsidRDefault="00A66F79" w:rsidP="00A66F79">
      <w:pPr>
        <w:spacing w:after="0" w:line="120" w:lineRule="atLeast"/>
        <w:ind w:right="57"/>
        <w:jc w:val="both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</w:p>
    <w:p w:rsidR="00A66F79" w:rsidRDefault="00A66F79" w:rsidP="00A66F79">
      <w:pPr>
        <w:spacing w:after="0" w:line="120" w:lineRule="atLeast"/>
        <w:ind w:right="57"/>
        <w:jc w:val="both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</w:p>
    <w:p w:rsidR="00A66F79" w:rsidRDefault="00A66F79" w:rsidP="00A66F79">
      <w:pPr>
        <w:spacing w:after="0" w:line="120" w:lineRule="atLeast"/>
        <w:ind w:right="57"/>
        <w:jc w:val="both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</w:p>
    <w:p w:rsidR="00A66F79" w:rsidRDefault="00A66F79" w:rsidP="00A66F79">
      <w:pPr>
        <w:spacing w:after="0" w:line="120" w:lineRule="atLeast"/>
        <w:ind w:right="57"/>
        <w:jc w:val="both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</w:p>
    <w:p w:rsidR="00A66F79" w:rsidRDefault="00A66F79" w:rsidP="00A66F79">
      <w:pPr>
        <w:spacing w:after="0" w:line="120" w:lineRule="atLeast"/>
        <w:ind w:right="57"/>
        <w:jc w:val="both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</w:p>
    <w:p w:rsidR="00A66F79" w:rsidRDefault="00A66F79" w:rsidP="00A66F79">
      <w:pPr>
        <w:spacing w:after="0" w:line="120" w:lineRule="atLeast"/>
        <w:ind w:right="57"/>
        <w:jc w:val="both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</w:p>
    <w:p w:rsidR="00A66F79" w:rsidRPr="00FA49D6" w:rsidRDefault="00A66F79" w:rsidP="00A66F79">
      <w:pPr>
        <w:spacing w:after="0" w:line="120" w:lineRule="atLeast"/>
        <w:ind w:right="57"/>
        <w:jc w:val="center"/>
        <w:outlineLvl w:val="8"/>
        <w:rPr>
          <w:rFonts w:ascii="Arial" w:eastAsia="Times New Roman" w:hAnsi="Arial" w:cs="Simple Bold Jut Out"/>
          <w:sz w:val="36"/>
          <w:szCs w:val="36"/>
          <w:rtl/>
          <w:lang w:bidi="ar-IQ"/>
        </w:rPr>
      </w:pPr>
      <w:r w:rsidRPr="00FA49D6">
        <w:rPr>
          <w:rFonts w:ascii="Arial" w:eastAsia="Times New Roman" w:hAnsi="Arial" w:cs="Simple Bold Jut Out" w:hint="cs"/>
          <w:sz w:val="36"/>
          <w:szCs w:val="36"/>
          <w:rtl/>
          <w:lang w:bidi="ar-IQ"/>
        </w:rPr>
        <w:t>الفرع الخامس</w:t>
      </w:r>
    </w:p>
    <w:p w:rsidR="00A66F79" w:rsidRDefault="00A66F79" w:rsidP="00A66F79">
      <w:pPr>
        <w:spacing w:after="0" w:line="120" w:lineRule="atLeast"/>
        <w:ind w:right="57"/>
        <w:jc w:val="center"/>
        <w:outlineLvl w:val="8"/>
        <w:rPr>
          <w:rFonts w:ascii="Arial" w:eastAsia="Times New Roman" w:hAnsi="Arial" w:cs="Simple Bold Jut Out"/>
          <w:sz w:val="36"/>
          <w:szCs w:val="36"/>
          <w:rtl/>
          <w:lang w:bidi="ar-IQ"/>
        </w:rPr>
      </w:pPr>
      <w:r w:rsidRPr="00FA49D6">
        <w:rPr>
          <w:rFonts w:ascii="Arial" w:eastAsia="Times New Roman" w:hAnsi="Arial" w:cs="Simple Bold Jut Out" w:hint="cs"/>
          <w:sz w:val="36"/>
          <w:szCs w:val="36"/>
          <w:rtl/>
          <w:lang w:bidi="ar-IQ"/>
        </w:rPr>
        <w:t>جهات اخرى</w:t>
      </w:r>
    </w:p>
    <w:p w:rsidR="00A66F79" w:rsidRDefault="00A66F79" w:rsidP="00A66F79">
      <w:pPr>
        <w:spacing w:after="0" w:line="120" w:lineRule="atLeast"/>
        <w:ind w:right="57"/>
        <w:jc w:val="center"/>
        <w:outlineLvl w:val="8"/>
        <w:rPr>
          <w:rFonts w:ascii="Arial" w:eastAsia="Times New Roman" w:hAnsi="Arial" w:cs="Simple Bold Jut Out"/>
          <w:sz w:val="36"/>
          <w:szCs w:val="36"/>
          <w:rtl/>
          <w:lang w:bidi="ar-IQ"/>
        </w:rPr>
      </w:pPr>
    </w:p>
    <w:p w:rsidR="00A66F79" w:rsidRPr="00FA49D6" w:rsidRDefault="00A66F79" w:rsidP="00A66F79">
      <w:pPr>
        <w:spacing w:after="0" w:line="120" w:lineRule="atLeast"/>
        <w:ind w:right="57"/>
        <w:jc w:val="both"/>
        <w:outlineLvl w:val="8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FA49D6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أعطى القانون لجهات اخرى 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أضافة الى ما سبق ذكره </w:t>
      </w:r>
      <w:r w:rsidRPr="00FA49D6">
        <w:rPr>
          <w:rFonts w:asciiTheme="minorBidi" w:eastAsia="Times New Roman" w:hAnsiTheme="minorBidi"/>
          <w:sz w:val="28"/>
          <w:szCs w:val="28"/>
          <w:rtl/>
          <w:lang w:bidi="ar-IQ"/>
        </w:rPr>
        <w:t>الحق في تلقي الشك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وى </w:t>
      </w:r>
      <w:r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والاخبار ومن 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>ث</w:t>
      </w:r>
      <w:r w:rsidRPr="00FA49D6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م التحقيق فيها وفقا لما تمتلكه من صلاحيات وسلطات منحت لها بموجب احكام القوانين الخاصة </w:t>
      </w:r>
      <w:proofErr w:type="spellStart"/>
      <w:r w:rsidRPr="00FA49D6">
        <w:rPr>
          <w:rFonts w:asciiTheme="minorBidi" w:eastAsia="Times New Roman" w:hAnsiTheme="minorBidi"/>
          <w:sz w:val="28"/>
          <w:szCs w:val="28"/>
          <w:rtl/>
          <w:lang w:bidi="ar-IQ"/>
        </w:rPr>
        <w:t>بانشائها</w:t>
      </w:r>
      <w:proofErr w:type="spellEnd"/>
      <w:r w:rsidRPr="00FA49D6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 كقانون هيئة النزاهة رقم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6966CD">
        <w:rPr>
          <w:rFonts w:asciiTheme="minorBidi" w:eastAsia="Times New Roman" w:hAnsiTheme="minorBidi"/>
          <w:b/>
          <w:bCs/>
          <w:sz w:val="28"/>
          <w:szCs w:val="28"/>
          <w:rtl/>
          <w:lang w:bidi="ar-IQ"/>
        </w:rPr>
        <w:t>(30) لسنة 2011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، </w:t>
      </w:r>
      <w:r w:rsidRPr="00FA49D6">
        <w:rPr>
          <w:rFonts w:asciiTheme="minorBidi" w:eastAsia="Times New Roman" w:hAnsiTheme="minorBidi"/>
          <w:sz w:val="28"/>
          <w:szCs w:val="28"/>
          <w:rtl/>
          <w:lang w:bidi="ar-IQ"/>
        </w:rPr>
        <w:t>وقانون المفتشي</w:t>
      </w:r>
      <w:r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ن العمومين الامر </w:t>
      </w:r>
      <w:r w:rsidRPr="006966CD">
        <w:rPr>
          <w:rFonts w:asciiTheme="minorBidi" w:eastAsia="Times New Roman" w:hAnsiTheme="minorBidi" w:hint="cs"/>
          <w:b/>
          <w:bCs/>
          <w:sz w:val="28"/>
          <w:szCs w:val="28"/>
          <w:rtl/>
          <w:lang w:bidi="ar-IQ"/>
        </w:rPr>
        <w:t>(</w:t>
      </w:r>
      <w:r w:rsidRPr="006966CD">
        <w:rPr>
          <w:rFonts w:asciiTheme="minorBidi" w:eastAsia="Times New Roman" w:hAnsiTheme="minorBidi"/>
          <w:b/>
          <w:bCs/>
          <w:sz w:val="28"/>
          <w:szCs w:val="28"/>
          <w:rtl/>
          <w:lang w:bidi="ar-IQ"/>
        </w:rPr>
        <w:t>57) لسنة 2004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>،وفي انواع محددة من الجرائم (قضايا الفساد)، لخصوصية تلك الجهات، والتي انشأت بعد عام 2003 .</w:t>
      </w:r>
    </w:p>
    <w:p w:rsidR="00A66F79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Simple Bold Jut Out"/>
          <w:sz w:val="36"/>
          <w:szCs w:val="36"/>
          <w:rtl/>
          <w:lang w:bidi="ar-IQ"/>
        </w:rPr>
      </w:pPr>
    </w:p>
    <w:p w:rsidR="00A66F79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Simple Bold Jut Out"/>
          <w:sz w:val="36"/>
          <w:szCs w:val="36"/>
          <w:rtl/>
          <w:lang w:bidi="ar-IQ"/>
        </w:rPr>
      </w:pPr>
    </w:p>
    <w:p w:rsidR="00A66F79" w:rsidRDefault="00A66F79" w:rsidP="00A66F79">
      <w:pPr>
        <w:spacing w:after="0" w:line="120" w:lineRule="atLeast"/>
        <w:ind w:right="57"/>
        <w:jc w:val="center"/>
        <w:outlineLvl w:val="8"/>
        <w:rPr>
          <w:rFonts w:ascii="Arial" w:eastAsia="Times New Roman" w:hAnsi="Arial" w:cs="Simple Bold Jut Out"/>
          <w:sz w:val="40"/>
          <w:szCs w:val="40"/>
          <w:rtl/>
          <w:lang w:bidi="ar-IQ"/>
        </w:rPr>
      </w:pPr>
      <w:r w:rsidRPr="00FA49D6">
        <w:rPr>
          <w:rFonts w:ascii="Arial" w:eastAsia="Times New Roman" w:hAnsi="Arial" w:cs="Simple Bold Jut Out" w:hint="cs"/>
          <w:sz w:val="40"/>
          <w:szCs w:val="40"/>
          <w:rtl/>
          <w:lang w:bidi="ar-IQ"/>
        </w:rPr>
        <w:t>المطلب الثالث</w:t>
      </w:r>
    </w:p>
    <w:p w:rsidR="00A66F79" w:rsidRDefault="00A66F79" w:rsidP="00A66F79">
      <w:pPr>
        <w:spacing w:after="0" w:line="120" w:lineRule="atLeast"/>
        <w:ind w:right="57"/>
        <w:jc w:val="center"/>
        <w:outlineLvl w:val="8"/>
        <w:rPr>
          <w:rFonts w:ascii="Arial" w:eastAsia="Times New Roman" w:hAnsi="Arial" w:cs="Simple Bold Jut Out"/>
          <w:sz w:val="40"/>
          <w:szCs w:val="40"/>
          <w:rtl/>
          <w:lang w:bidi="ar-IQ"/>
        </w:rPr>
      </w:pPr>
      <w:r>
        <w:rPr>
          <w:rFonts w:ascii="Arial" w:eastAsia="Times New Roman" w:hAnsi="Arial" w:cs="Simple Bold Jut Out" w:hint="cs"/>
          <w:sz w:val="40"/>
          <w:szCs w:val="40"/>
          <w:rtl/>
          <w:lang w:bidi="ar-IQ"/>
        </w:rPr>
        <w:lastRenderedPageBreak/>
        <w:t>الشكوى في حالة الجريمة المشهودة</w:t>
      </w:r>
    </w:p>
    <w:p w:rsidR="00A66F79" w:rsidRPr="00FA49D6" w:rsidRDefault="00A66F79" w:rsidP="00A66F79">
      <w:pPr>
        <w:spacing w:after="0" w:line="120" w:lineRule="atLeast"/>
        <w:ind w:right="57"/>
        <w:jc w:val="center"/>
        <w:outlineLvl w:val="8"/>
        <w:rPr>
          <w:rFonts w:ascii="Arial" w:eastAsia="Times New Roman" w:hAnsi="Arial" w:cs="Simple Bold Jut Out"/>
          <w:sz w:val="40"/>
          <w:szCs w:val="40"/>
          <w:rtl/>
          <w:lang w:bidi="ar-IQ"/>
        </w:rPr>
      </w:pPr>
    </w:p>
    <w:p w:rsidR="00A66F79" w:rsidRPr="001C199B" w:rsidRDefault="00A66F79" w:rsidP="00A66F79">
      <w:pPr>
        <w:spacing w:after="0" w:line="120" w:lineRule="atLeast"/>
        <w:ind w:right="57"/>
        <w:jc w:val="both"/>
        <w:outlineLvl w:val="8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1C199B">
        <w:rPr>
          <w:rFonts w:asciiTheme="minorBidi" w:eastAsia="Times New Roman" w:hAnsiTheme="minorBidi"/>
          <w:sz w:val="28"/>
          <w:szCs w:val="28"/>
          <w:rtl/>
          <w:lang w:bidi="ar-IQ"/>
        </w:rPr>
        <w:t>تختلف الشكوى في حالة الجريمة المشهودة من حيث الاجراءات التي تتخذ عنها في الجريمة غير المشهودة أو العادية،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1C199B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لخصوصية تلك الجريمة التي تحتم منح صلاحيات خاصة </w:t>
      </w:r>
      <w:r w:rsidRPr="001C199B">
        <w:rPr>
          <w:rFonts w:asciiTheme="minorBidi" w:eastAsia="Times New Roman" w:hAnsiTheme="minorBidi" w:hint="cs"/>
          <w:sz w:val="28"/>
          <w:szCs w:val="28"/>
          <w:rtl/>
          <w:lang w:bidi="ar-IQ"/>
        </w:rPr>
        <w:t>لأعضاء</w:t>
      </w:r>
      <w:r w:rsidRPr="001C199B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 الضبط القضائي للحيلولة دون ضياع معالم الجريمة بطمسها واتلافها أو محاولة التلاعب بها أو تغييرها بالشكل الذي يضر بسير التحقيق،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1C199B">
        <w:rPr>
          <w:rFonts w:asciiTheme="minorBidi" w:eastAsia="Times New Roman" w:hAnsiTheme="minorBidi"/>
          <w:sz w:val="28"/>
          <w:szCs w:val="28"/>
          <w:rtl/>
          <w:lang w:bidi="ar-IQ"/>
        </w:rPr>
        <w:t>ومن اجل جعل الخطأ في تقدير الادلة معدوماً أو ضئيلاً</w:t>
      </w:r>
    </w:p>
    <w:p w:rsidR="00A66F79" w:rsidRPr="001119BE" w:rsidRDefault="00A66F79" w:rsidP="00A66F79">
      <w:pPr>
        <w:spacing w:after="0" w:line="120" w:lineRule="atLeast"/>
        <w:ind w:right="57"/>
        <w:jc w:val="both"/>
        <w:outlineLvl w:val="8"/>
        <w:rPr>
          <w:rFonts w:ascii="Arial" w:eastAsia="Times New Roman" w:hAnsi="Arial" w:cs="Arial"/>
          <w:sz w:val="36"/>
          <w:szCs w:val="36"/>
          <w:rtl/>
          <w:lang w:bidi="ar-IQ"/>
        </w:rPr>
      </w:pPr>
    </w:p>
    <w:p w:rsidR="00A66F79" w:rsidRPr="00FA49D6" w:rsidRDefault="00A66F79" w:rsidP="00A66F79">
      <w:pPr>
        <w:spacing w:after="0" w:line="120" w:lineRule="atLeast"/>
        <w:ind w:right="57"/>
        <w:jc w:val="center"/>
        <w:outlineLvl w:val="8"/>
        <w:rPr>
          <w:rFonts w:ascii="Arial" w:eastAsia="Times New Roman" w:hAnsi="Arial" w:cs="Simple Bold Jut Out"/>
          <w:b/>
          <w:bCs/>
          <w:sz w:val="36"/>
          <w:szCs w:val="36"/>
          <w:rtl/>
          <w:lang w:bidi="ar-IQ"/>
        </w:rPr>
      </w:pPr>
      <w:r w:rsidRPr="00FA49D6">
        <w:rPr>
          <w:rFonts w:ascii="Arial" w:eastAsia="Times New Roman" w:hAnsi="Arial" w:cs="Simple Bold Jut Out" w:hint="cs"/>
          <w:b/>
          <w:bCs/>
          <w:sz w:val="36"/>
          <w:szCs w:val="36"/>
          <w:rtl/>
          <w:lang w:bidi="ar-IQ"/>
        </w:rPr>
        <w:t>الفرع الاول</w:t>
      </w:r>
    </w:p>
    <w:p w:rsidR="00A66F79" w:rsidRDefault="00A66F79" w:rsidP="00A66F79">
      <w:pPr>
        <w:spacing w:after="0" w:line="120" w:lineRule="atLeast"/>
        <w:ind w:right="57"/>
        <w:jc w:val="center"/>
        <w:outlineLvl w:val="8"/>
        <w:rPr>
          <w:rFonts w:ascii="Arial" w:eastAsia="Times New Roman" w:hAnsi="Arial" w:cs="Simple Bold Jut Out"/>
          <w:sz w:val="36"/>
          <w:szCs w:val="36"/>
          <w:rtl/>
          <w:lang w:bidi="ar-IQ"/>
        </w:rPr>
      </w:pPr>
      <w:r w:rsidRPr="00FA49D6">
        <w:rPr>
          <w:rFonts w:ascii="Arial" w:eastAsia="Times New Roman" w:hAnsi="Arial" w:cs="Simple Bold Jut Out" w:hint="cs"/>
          <w:b/>
          <w:bCs/>
          <w:sz w:val="36"/>
          <w:szCs w:val="36"/>
          <w:rtl/>
          <w:lang w:bidi="ar-IQ"/>
        </w:rPr>
        <w:t>تعريف الجريمة المشهودة</w:t>
      </w:r>
      <w:r>
        <w:rPr>
          <w:rFonts w:ascii="Arial" w:eastAsia="Times New Roman" w:hAnsi="Arial" w:cs="Simple Bold Jut Out" w:hint="cs"/>
          <w:sz w:val="36"/>
          <w:szCs w:val="36"/>
          <w:rtl/>
          <w:lang w:bidi="ar-IQ"/>
        </w:rPr>
        <w:t xml:space="preserve"> وتسمياتها</w:t>
      </w:r>
    </w:p>
    <w:p w:rsidR="00A66F79" w:rsidRDefault="00A66F79" w:rsidP="00A66F79">
      <w:pPr>
        <w:spacing w:after="0" w:line="120" w:lineRule="atLeast"/>
        <w:ind w:right="57"/>
        <w:jc w:val="center"/>
        <w:outlineLvl w:val="8"/>
        <w:rPr>
          <w:rFonts w:ascii="Arial" w:eastAsia="Times New Roman" w:hAnsi="Arial" w:cs="Simple Bold Jut Out"/>
          <w:sz w:val="36"/>
          <w:szCs w:val="36"/>
          <w:rtl/>
          <w:lang w:bidi="ar-IQ"/>
        </w:rPr>
      </w:pPr>
    </w:p>
    <w:p w:rsidR="00A66F79" w:rsidRPr="006D0F0A" w:rsidRDefault="00A66F79" w:rsidP="00A66F79">
      <w:pPr>
        <w:spacing w:after="0" w:line="120" w:lineRule="atLeast"/>
        <w:ind w:right="57"/>
        <w:jc w:val="both"/>
        <w:outlineLvl w:val="8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6D0F0A">
        <w:rPr>
          <w:rFonts w:asciiTheme="minorBidi" w:eastAsia="Times New Roman" w:hAnsiTheme="minorBidi"/>
          <w:sz w:val="28"/>
          <w:szCs w:val="28"/>
          <w:rtl/>
          <w:lang w:bidi="ar-IQ"/>
        </w:rPr>
        <w:t>الجرم في اللغة هو الذنب،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6D0F0A">
        <w:rPr>
          <w:rFonts w:asciiTheme="minorBidi" w:eastAsia="Times New Roman" w:hAnsiTheme="minorBidi"/>
          <w:sz w:val="28"/>
          <w:szCs w:val="28"/>
          <w:rtl/>
          <w:lang w:bidi="ar-IQ"/>
        </w:rPr>
        <w:t>واما المشهودة فهي مأخوذة من الشهادة والشهود،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6D0F0A">
        <w:rPr>
          <w:rFonts w:asciiTheme="minorBidi" w:eastAsia="Times New Roman" w:hAnsiTheme="minorBidi"/>
          <w:sz w:val="28"/>
          <w:szCs w:val="28"/>
          <w:rtl/>
          <w:lang w:bidi="ar-IQ"/>
        </w:rPr>
        <w:t>أي الحضور أو الادراك،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6D0F0A">
        <w:rPr>
          <w:rFonts w:asciiTheme="minorBidi" w:eastAsia="Times New Roman" w:hAnsiTheme="minorBidi"/>
          <w:sz w:val="28"/>
          <w:szCs w:val="28"/>
          <w:rtl/>
          <w:lang w:bidi="ar-IQ"/>
        </w:rPr>
        <w:t>قوم شهود أي حضور،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 </w:t>
      </w:r>
      <w:r w:rsidRPr="006D0F0A">
        <w:rPr>
          <w:rFonts w:asciiTheme="minorBidi" w:eastAsia="Times New Roman" w:hAnsiTheme="minorBidi"/>
          <w:sz w:val="28"/>
          <w:szCs w:val="28"/>
          <w:rtl/>
          <w:lang w:bidi="ar-IQ"/>
        </w:rPr>
        <w:t>ومن ذلك قوله تعالى(وذلك يوم مشهود...).</w:t>
      </w:r>
    </w:p>
    <w:p w:rsidR="00A66F79" w:rsidRPr="006D0F0A" w:rsidRDefault="00A66F79" w:rsidP="00A66F79">
      <w:pPr>
        <w:spacing w:after="0" w:line="120" w:lineRule="atLeast"/>
        <w:ind w:right="57"/>
        <w:jc w:val="both"/>
        <w:outlineLvl w:val="8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6D0F0A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أي محضور 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 xml:space="preserve">،وقوله تعالى </w:t>
      </w:r>
      <w:r w:rsidRPr="006D0F0A">
        <w:rPr>
          <w:rFonts w:asciiTheme="minorBidi" w:eastAsia="Times New Roman" w:hAnsiTheme="minorBidi"/>
          <w:sz w:val="28"/>
          <w:szCs w:val="28"/>
          <w:rtl/>
          <w:lang w:bidi="ar-IQ"/>
        </w:rPr>
        <w:t>(( ان قران الفجر كان مشهوداً))</w:t>
      </w:r>
      <w:r>
        <w:rPr>
          <w:rFonts w:asciiTheme="minorBidi" w:eastAsia="Times New Roman" w:hAnsiTheme="minorBidi" w:hint="cs"/>
          <w:sz w:val="28"/>
          <w:szCs w:val="28"/>
          <w:rtl/>
          <w:lang w:bidi="ar-IQ"/>
        </w:rPr>
        <w:t>.</w:t>
      </w:r>
    </w:p>
    <w:p w:rsidR="00A66F79" w:rsidRPr="001C199B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1C199B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يقصد بالجريمة المشهودة </w:t>
      </w:r>
      <w:r w:rsidRPr="001C199B">
        <w:rPr>
          <w:rFonts w:ascii="Arial" w:eastAsia="Times New Roman" w:hAnsi="Arial" w:cs="Arial" w:hint="cs"/>
          <w:sz w:val="28"/>
          <w:szCs w:val="28"/>
          <w:rtl/>
          <w:lang w:bidi="ar-IQ"/>
        </w:rPr>
        <w:t xml:space="preserve">أو المتلبس بها أو المضبوطة </w:t>
      </w:r>
      <w:r>
        <w:rPr>
          <w:rFonts w:ascii="Arial" w:eastAsia="Times New Roman" w:hAnsi="Arial" w:cs="Arial" w:hint="cs"/>
          <w:sz w:val="28"/>
          <w:szCs w:val="28"/>
          <w:rtl/>
          <w:lang w:bidi="ar-IQ"/>
        </w:rPr>
        <w:t xml:space="preserve">اصطلاحا </w:t>
      </w:r>
      <w:r w:rsidRPr="001C199B">
        <w:rPr>
          <w:rFonts w:ascii="Arial" w:eastAsia="Times New Roman" w:hAnsi="Arial" w:cs="Arial"/>
          <w:sz w:val="28"/>
          <w:szCs w:val="28"/>
          <w:rtl/>
          <w:lang w:bidi="ar-IQ"/>
        </w:rPr>
        <w:t>هي</w:t>
      </w:r>
      <w:r>
        <w:rPr>
          <w:rFonts w:ascii="Arial" w:eastAsia="Times New Roman" w:hAnsi="Arial" w:cs="Arial" w:hint="cs"/>
          <w:sz w:val="28"/>
          <w:szCs w:val="28"/>
          <w:rtl/>
          <w:lang w:bidi="ar-IQ"/>
        </w:rPr>
        <w:t>:-</w:t>
      </w:r>
    </w:p>
    <w:p w:rsidR="00A66F79" w:rsidRPr="001C199B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(</w:t>
      </w:r>
      <w:r w:rsidRPr="001C199B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( الجريمة التي تشاهد حال ارتكابها)</w:t>
      </w: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)</w:t>
      </w:r>
    </w:p>
    <w:p w:rsidR="00A66F79" w:rsidRPr="001C199B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(</w:t>
      </w:r>
      <w:r w:rsidRPr="001C199B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 xml:space="preserve">( هي الجريمة التي تضبط عند ارتكابها </w:t>
      </w: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)</w:t>
      </w:r>
      <w:r w:rsidRPr="001C199B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)</w:t>
      </w:r>
    </w:p>
    <w:p w:rsidR="00A66F79" w:rsidRPr="001C199B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((الجريمة التي تشاهد عند تنفيذها))</w:t>
      </w:r>
    </w:p>
    <w:p w:rsidR="00A66F79" w:rsidRPr="001C199B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((الجريمة التي تشاهد حال ارتكاب فاعلها للسلوك الإجرامي المكون للركن المادي فيها))</w:t>
      </w:r>
    </w:p>
    <w:p w:rsidR="00A66F79" w:rsidRPr="001C199B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1C199B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(</w:t>
      </w: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(</w:t>
      </w:r>
      <w:r w:rsidRPr="001C199B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 xml:space="preserve">هي الجريمة التي تشاهد حال التلبس بها </w:t>
      </w: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)</w:t>
      </w:r>
      <w:r w:rsidRPr="001C199B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 xml:space="preserve">) </w:t>
      </w:r>
    </w:p>
    <w:p w:rsidR="00A66F79" w:rsidRPr="001C199B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1C199B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 xml:space="preserve"> </w:t>
      </w: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(</w:t>
      </w:r>
      <w:r w:rsidRPr="001C199B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(ضبط الجريمة حال التلبس بها )</w:t>
      </w: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).</w:t>
      </w:r>
    </w:p>
    <w:p w:rsidR="00A66F79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1C199B">
        <w:rPr>
          <w:rFonts w:ascii="Arial" w:eastAsia="Times New Roman" w:hAnsi="Arial" w:cs="Arial" w:hint="cs"/>
          <w:sz w:val="28"/>
          <w:szCs w:val="28"/>
          <w:rtl/>
          <w:lang w:bidi="ar-IQ"/>
        </w:rPr>
        <w:t xml:space="preserve">ومهما تعدد التعاريف التي وضعت لها فهي ذات مضمون واحد </w:t>
      </w:r>
      <w:r>
        <w:rPr>
          <w:rFonts w:ascii="Arial" w:eastAsia="Times New Roman" w:hAnsi="Arial" w:cs="Arial" w:hint="cs"/>
          <w:sz w:val="28"/>
          <w:szCs w:val="28"/>
          <w:rtl/>
          <w:lang w:bidi="ar-IQ"/>
        </w:rPr>
        <w:t>،ويمكننا تعري</w:t>
      </w:r>
      <w:r w:rsidRPr="001C199B">
        <w:rPr>
          <w:rFonts w:ascii="Arial" w:eastAsia="Times New Roman" w:hAnsi="Arial" w:cs="Arial" w:hint="cs"/>
          <w:sz w:val="28"/>
          <w:szCs w:val="28"/>
          <w:rtl/>
          <w:lang w:bidi="ar-IQ"/>
        </w:rPr>
        <w:t xml:space="preserve">فها بأنها </w:t>
      </w:r>
    </w:p>
    <w:p w:rsidR="00A66F79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 xml:space="preserve">((ضبط الجريمة في احدى الحالات التي بينها القانون)) أو هي </w:t>
      </w:r>
    </w:p>
    <w:p w:rsidR="00A66F79" w:rsidRPr="001C199B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1C199B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((الجريمة التي تضبط في احدى الحالات التي حددها القانون))</w:t>
      </w:r>
    </w:p>
    <w:p w:rsidR="00A66F79" w:rsidRPr="001C199B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b/>
          <w:bCs/>
          <w:sz w:val="36"/>
          <w:szCs w:val="36"/>
          <w:rtl/>
          <w:lang w:bidi="ar-IQ"/>
        </w:rPr>
      </w:pPr>
    </w:p>
    <w:p w:rsidR="00A66F79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Simple Bold Jut Out"/>
          <w:sz w:val="32"/>
          <w:szCs w:val="32"/>
          <w:rtl/>
          <w:lang w:bidi="ar-IQ"/>
        </w:rPr>
      </w:pPr>
      <w:r w:rsidRPr="00FE211B">
        <w:rPr>
          <w:rFonts w:ascii="Arial" w:eastAsia="Times New Roman" w:hAnsi="Arial" w:cs="Simple Bold Jut Out" w:hint="cs"/>
          <w:sz w:val="32"/>
          <w:szCs w:val="32"/>
          <w:rtl/>
          <w:lang w:bidi="ar-IQ"/>
        </w:rPr>
        <w:t>ثانياً- تسمياتها</w:t>
      </w:r>
    </w:p>
    <w:p w:rsidR="00A66F79" w:rsidRPr="00FE211B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Simple Bold Jut Out"/>
          <w:sz w:val="32"/>
          <w:szCs w:val="32"/>
          <w:rtl/>
          <w:lang w:bidi="ar-IQ"/>
        </w:rPr>
      </w:pPr>
    </w:p>
    <w:p w:rsidR="00A66F79" w:rsidRPr="00101CF1" w:rsidRDefault="00A66F79" w:rsidP="00A66F79">
      <w:pPr>
        <w:spacing w:after="0" w:line="120" w:lineRule="atLeast"/>
        <w:ind w:right="57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101CF1">
        <w:rPr>
          <w:rFonts w:ascii="Arial" w:eastAsia="Times New Roman" w:hAnsi="Arial" w:cs="Arial" w:hint="cs"/>
          <w:sz w:val="28"/>
          <w:szCs w:val="28"/>
          <w:rtl/>
          <w:lang w:bidi="ar-IQ"/>
        </w:rPr>
        <w:t xml:space="preserve"> هناك العديد من التسميات التي اطلقها القانون أو الفقه للدلالة عليها ومنها </w:t>
      </w:r>
    </w:p>
    <w:p w:rsidR="00A66F79" w:rsidRPr="00101CF1" w:rsidRDefault="00A66F79" w:rsidP="00A66F79">
      <w:pPr>
        <w:spacing w:after="0" w:line="120" w:lineRule="atLeast"/>
        <w:ind w:right="57"/>
        <w:jc w:val="lowKashida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101CF1">
        <w:rPr>
          <w:rFonts w:ascii="Arial" w:eastAsia="Times New Roman" w:hAnsi="Arial" w:cs="Arial" w:hint="cs"/>
          <w:sz w:val="28"/>
          <w:szCs w:val="28"/>
          <w:rtl/>
          <w:lang w:bidi="ar-IQ"/>
        </w:rPr>
        <w:t>ما يأتي:-</w:t>
      </w:r>
      <w:r w:rsidRPr="00101CF1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 :</w:t>
      </w:r>
    </w:p>
    <w:p w:rsidR="00A66F79" w:rsidRPr="00101CF1" w:rsidRDefault="00A66F79" w:rsidP="00A66F79">
      <w:pPr>
        <w:spacing w:after="0" w:line="120" w:lineRule="atLeast"/>
        <w:ind w:right="57"/>
        <w:jc w:val="lowKashida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101CF1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1</w:t>
      </w:r>
      <w:r w:rsidRPr="00101CF1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-</w:t>
      </w:r>
      <w:r w:rsidRPr="00101CF1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 الجريمة المشهودة .</w:t>
      </w:r>
    </w:p>
    <w:p w:rsidR="00A66F79" w:rsidRPr="00101CF1" w:rsidRDefault="00A66F79" w:rsidP="00A66F79">
      <w:pPr>
        <w:spacing w:after="0" w:line="120" w:lineRule="atLeast"/>
        <w:ind w:right="57"/>
        <w:jc w:val="lowKashida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101CF1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2</w:t>
      </w:r>
      <w:r w:rsidRPr="00101CF1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-</w:t>
      </w:r>
      <w:r w:rsidRPr="00101CF1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 الجريمة المضبوطة .</w:t>
      </w:r>
    </w:p>
    <w:p w:rsidR="00A66F79" w:rsidRPr="00101CF1" w:rsidRDefault="00A66F79" w:rsidP="00A66F79">
      <w:pPr>
        <w:spacing w:after="0" w:line="120" w:lineRule="atLeast"/>
        <w:ind w:right="57"/>
        <w:jc w:val="lowKashida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101CF1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3</w:t>
      </w:r>
      <w:r w:rsidRPr="00101CF1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-</w:t>
      </w:r>
      <w:r w:rsidRPr="00101CF1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 الجريمة المتلبس بها .</w:t>
      </w:r>
    </w:p>
    <w:p w:rsidR="00A66F79" w:rsidRPr="00101CF1" w:rsidRDefault="00A66F79" w:rsidP="00A66F79">
      <w:pPr>
        <w:spacing w:after="0" w:line="120" w:lineRule="atLeast"/>
        <w:ind w:right="57"/>
        <w:jc w:val="lowKashida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101CF1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4</w:t>
      </w:r>
      <w:r w:rsidRPr="00101CF1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-</w:t>
      </w:r>
      <w:r w:rsidRPr="00101CF1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 الجريمة المكتشفة حال ارتكابها .</w:t>
      </w:r>
    </w:p>
    <w:p w:rsidR="00A66F79" w:rsidRPr="00101CF1" w:rsidRDefault="00A66F79" w:rsidP="00A66F79">
      <w:pPr>
        <w:spacing w:after="0" w:line="120" w:lineRule="atLeast"/>
        <w:ind w:right="57"/>
        <w:jc w:val="lowKashida"/>
        <w:outlineLvl w:val="8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101CF1">
        <w:rPr>
          <w:rFonts w:ascii="Arial" w:eastAsia="Times New Roman" w:hAnsi="Arial" w:cs="Arial" w:hint="cs"/>
          <w:b/>
          <w:bCs/>
          <w:sz w:val="28"/>
          <w:szCs w:val="28"/>
          <w:rtl/>
          <w:lang w:bidi="ar-IQ"/>
        </w:rPr>
        <w:t>5-</w:t>
      </w:r>
      <w:r w:rsidRPr="00101CF1">
        <w:rPr>
          <w:rFonts w:ascii="Arial" w:eastAsia="Times New Roman" w:hAnsi="Arial" w:cs="Arial" w:hint="cs"/>
          <w:sz w:val="28"/>
          <w:szCs w:val="28"/>
          <w:rtl/>
          <w:lang w:bidi="ar-IQ"/>
        </w:rPr>
        <w:t xml:space="preserve"> الجريمة المشاهدة حال تنفيذها.</w:t>
      </w:r>
    </w:p>
    <w:p w:rsidR="00A66F79" w:rsidRDefault="00A66F79" w:rsidP="00A66F79">
      <w:pPr>
        <w:spacing w:after="0" w:line="120" w:lineRule="atLeast"/>
        <w:ind w:right="57"/>
        <w:jc w:val="lowKashida"/>
        <w:outlineLvl w:val="8"/>
        <w:rPr>
          <w:rFonts w:ascii="Arial" w:eastAsia="Times New Roman" w:hAnsi="Arial" w:cs="Arial"/>
          <w:sz w:val="36"/>
          <w:szCs w:val="36"/>
          <w:rtl/>
          <w:lang w:bidi="ar-IQ"/>
        </w:rPr>
      </w:pPr>
    </w:p>
    <w:p w:rsidR="00C20E54" w:rsidRDefault="00C20E54">
      <w:pPr>
        <w:rPr>
          <w:lang w:bidi="ar-IQ"/>
        </w:rPr>
      </w:pPr>
      <w:bookmarkStart w:id="0" w:name="_GoBack"/>
      <w:bookmarkEnd w:id="0"/>
    </w:p>
    <w:sectPr w:rsidR="00C20E54" w:rsidSect="00F86D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A22A8"/>
    <w:multiLevelType w:val="hybridMultilevel"/>
    <w:tmpl w:val="21CCF25A"/>
    <w:lvl w:ilvl="0" w:tplc="E85A59B6">
      <w:start w:val="1"/>
      <w:numFmt w:val="decimal"/>
      <w:lvlText w:val="%1-"/>
      <w:lvlJc w:val="left"/>
      <w:pPr>
        <w:ind w:left="57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">
    <w:nsid w:val="760C0B35"/>
    <w:multiLevelType w:val="hybridMultilevel"/>
    <w:tmpl w:val="29866260"/>
    <w:lvl w:ilvl="0" w:tplc="40740ED4">
      <w:start w:val="2"/>
      <w:numFmt w:val="decimal"/>
      <w:lvlText w:val="%1-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9D"/>
    <w:rsid w:val="0005589D"/>
    <w:rsid w:val="003973ED"/>
    <w:rsid w:val="00A66F79"/>
    <w:rsid w:val="00C20E54"/>
    <w:rsid w:val="00E9103D"/>
    <w:rsid w:val="00F8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03D"/>
    <w:pPr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03D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د.ضياء</dc:creator>
  <cp:lastModifiedBy>د.ضياء</cp:lastModifiedBy>
  <cp:revision>2</cp:revision>
  <dcterms:created xsi:type="dcterms:W3CDTF">2015-09-25T18:57:00Z</dcterms:created>
  <dcterms:modified xsi:type="dcterms:W3CDTF">2015-09-25T18:57:00Z</dcterms:modified>
</cp:coreProperties>
</file>