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60" w:rsidRPr="00A256A7" w:rsidRDefault="00974460" w:rsidP="00974460">
      <w:pPr>
        <w:pStyle w:val="NoSpacing"/>
        <w:tabs>
          <w:tab w:val="left" w:pos="-2"/>
        </w:tabs>
        <w:spacing w:line="312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التيمم ، ويسمّى بالطهارة الترابيّة .</w:t>
      </w:r>
    </w:p>
    <w:p w:rsidR="00974460" w:rsidRPr="00A256A7" w:rsidRDefault="00974460" w:rsidP="00974460">
      <w:pPr>
        <w:pStyle w:val="NoSpacing"/>
        <w:tabs>
          <w:tab w:val="left" w:pos="-2"/>
        </w:tabs>
        <w:spacing w:line="312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8B3A9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</w:rPr>
        <w:t>التيمم في ال</w:t>
      </w:r>
      <w:r w:rsidRPr="008B3A9C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لغة</w:t>
      </w:r>
      <w:r w:rsidRPr="008B3A9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</w:rPr>
        <w:t xml:space="preserve"> </w:t>
      </w:r>
      <w:r w:rsidRPr="008B3A9C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:</w:t>
      </w:r>
      <w:r w:rsidRPr="00A256A7">
        <w:rPr>
          <w:rFonts w:asciiTheme="minorBidi" w:hAnsiTheme="minorBidi" w:cstheme="minorBidi"/>
          <w:sz w:val="32"/>
          <w:szCs w:val="32"/>
          <w:rtl/>
        </w:rPr>
        <w:t xml:space="preserve"> القصد ، قال تعالى :</w:t>
      </w:r>
      <w:r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>
        <w:rPr>
          <w:rFonts w:cs="DecoType Naskh Variants" w:hint="cs"/>
          <w:sz w:val="32"/>
          <w:szCs w:val="32"/>
          <w:rtl/>
        </w:rPr>
        <w:t>{</w:t>
      </w:r>
      <w:r w:rsidRPr="008D083F">
        <w:rPr>
          <w:rFonts w:cs="DecoType Naskh Variants"/>
          <w:sz w:val="32"/>
          <w:szCs w:val="32"/>
          <w:rtl/>
        </w:rPr>
        <w:t>فَلَمْ تَجِدُوا مَاءً فَتَيَمَّمُوا صَعِيدًا طَيِّبًا فَامْسَحُوا بِوُجُوهِكُمْ وَأَيْدِيكُمْ مِنْهُ</w:t>
      </w:r>
      <w:r>
        <w:rPr>
          <w:rFonts w:cs="DecoType Naskh Variants" w:hint="cs"/>
          <w:sz w:val="32"/>
          <w:szCs w:val="32"/>
          <w:rtl/>
        </w:rPr>
        <w:t>}</w:t>
      </w:r>
      <w:r w:rsidRPr="00A256A7">
        <w:rPr>
          <w:rFonts w:asciiTheme="minorBidi" w:hAnsiTheme="minorBidi" w:cstheme="minorBidi"/>
          <w:sz w:val="32"/>
          <w:szCs w:val="32"/>
          <w:rtl/>
        </w:rPr>
        <w:t xml:space="preserve"> ، أي اقصدوا الصعيد الطيب .</w:t>
      </w:r>
    </w:p>
    <w:p w:rsidR="00974460" w:rsidRPr="00A256A7" w:rsidRDefault="00974460" w:rsidP="00974460">
      <w:pPr>
        <w:pStyle w:val="NoSpacing"/>
        <w:tabs>
          <w:tab w:val="left" w:pos="-2"/>
        </w:tabs>
        <w:spacing w:line="312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8B3A9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</w:rPr>
        <w:t xml:space="preserve">التيمم </w:t>
      </w:r>
      <w:r w:rsidRPr="008B3A9C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في الاصطلاح :</w:t>
      </w:r>
      <w:r w:rsidRPr="00A256A7">
        <w:rPr>
          <w:rFonts w:asciiTheme="minorBidi" w:hAnsiTheme="minorBidi" w:cstheme="minorBidi"/>
          <w:sz w:val="32"/>
          <w:szCs w:val="32"/>
          <w:rtl/>
        </w:rPr>
        <w:t xml:space="preserve"> هو (عبادة خاصة ومقدمة عملية مخترعة من قبل الشارع ، محتاجة إلى نيّة التقرّب ، مطلوبة للغير بقيد عباديتها</w:t>
      </w:r>
      <w:r>
        <w:rPr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A256A7">
        <w:rPr>
          <w:rFonts w:asciiTheme="minorBidi" w:hAnsiTheme="minorBidi" w:cstheme="minorBidi"/>
          <w:sz w:val="32"/>
          <w:szCs w:val="32"/>
          <w:rtl/>
        </w:rPr>
        <w:t>)</w:t>
      </w:r>
      <w:r w:rsidRPr="00A256A7">
        <w:rPr>
          <w:rFonts w:asciiTheme="minorBidi" w:hAnsiTheme="minorBidi" w:cstheme="minorBidi"/>
          <w:sz w:val="32"/>
          <w:szCs w:val="32"/>
          <w:vertAlign w:val="superscript"/>
          <w:rtl/>
          <w:lang w:bidi="ar-IQ"/>
        </w:rPr>
        <w:t>(</w:t>
      </w:r>
      <w:r w:rsidRPr="00A256A7">
        <w:rPr>
          <w:rStyle w:val="FootnoteReference"/>
          <w:rFonts w:asciiTheme="minorBidi" w:hAnsiTheme="minorBidi" w:cstheme="minorBidi"/>
          <w:sz w:val="32"/>
          <w:szCs w:val="32"/>
          <w:rtl/>
          <w:lang w:bidi="ar-IQ"/>
        </w:rPr>
        <w:footnoteReference w:id="1"/>
      </w:r>
      <w:r w:rsidRPr="00A256A7">
        <w:rPr>
          <w:rFonts w:asciiTheme="minorBidi" w:hAnsiTheme="minorBidi" w:cstheme="minorBidi"/>
          <w:sz w:val="32"/>
          <w:szCs w:val="32"/>
          <w:vertAlign w:val="superscript"/>
          <w:rtl/>
          <w:lang w:bidi="ar-IQ"/>
        </w:rPr>
        <w:t>)</w:t>
      </w:r>
      <w:r w:rsidRPr="00A256A7">
        <w:rPr>
          <w:rFonts w:asciiTheme="minorBidi" w:hAnsiTheme="minorBidi" w:cstheme="minorBidi"/>
          <w:sz w:val="32"/>
          <w:szCs w:val="32"/>
          <w:rtl/>
        </w:rPr>
        <w:t xml:space="preserve"> .</w:t>
      </w:r>
    </w:p>
    <w:p w:rsidR="00974460" w:rsidRPr="00A256A7" w:rsidRDefault="00974460" w:rsidP="00974460">
      <w:pPr>
        <w:pStyle w:val="NoSpacing"/>
        <w:tabs>
          <w:tab w:val="left" w:pos="-2"/>
        </w:tabs>
        <w:spacing w:line="312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>
        <w:rPr>
          <w:rFonts w:asciiTheme="minorBidi" w:hAnsiTheme="minorBidi" w:cstheme="minorBidi" w:hint="cs"/>
          <w:sz w:val="32"/>
          <w:szCs w:val="32"/>
          <w:rtl/>
        </w:rPr>
        <w:t>والتيمم لا يرفع الحدث وإنما يستباح به الدخول للصلاة وقد اتفق على هذا فقهاء المذاهب إلا بعض المالكية قالوا أنه يرفع الحدث ، فالمجنب إذا تيمم وصلى ثم وجد الماء وجب عليه الغسل .</w:t>
      </w:r>
    </w:p>
    <w:p w:rsidR="00974460" w:rsidRPr="00A256A7" w:rsidRDefault="00974460" w:rsidP="00974460">
      <w:pPr>
        <w:pStyle w:val="NoSpacing"/>
        <w:tabs>
          <w:tab w:val="left" w:pos="-2"/>
        </w:tabs>
        <w:spacing w:line="312" w:lineRule="auto"/>
        <w:ind w:left="-2" w:firstLine="423"/>
        <w:jc w:val="both"/>
        <w:rPr>
          <w:rFonts w:asciiTheme="minorBidi" w:hAnsiTheme="minorBidi" w:cstheme="minorBidi"/>
          <w:sz w:val="32"/>
          <w:szCs w:val="32"/>
          <w:rtl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شرائطه : </w:t>
      </w:r>
      <w:r w:rsidRPr="00A256A7">
        <w:rPr>
          <w:rFonts w:asciiTheme="minorBidi" w:hAnsiTheme="minorBidi" w:cstheme="minorBidi"/>
          <w:sz w:val="32"/>
          <w:szCs w:val="32"/>
          <w:rtl/>
        </w:rPr>
        <w:t>يشترط في التيمّم :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نيّة القربة .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قصد البدليّة .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المباشرة في حال الاختيار .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الموالاة العرفيّة .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الترتيب .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الابتداء بالأعلى في الجبهة واليدين .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عدم الحائل بين الماسح والممسوح .</w:t>
      </w:r>
    </w:p>
    <w:p w:rsidR="00974460" w:rsidRPr="00A256A7" w:rsidRDefault="00974460" w:rsidP="00974460">
      <w:pPr>
        <w:pStyle w:val="NoSpacing"/>
        <w:numPr>
          <w:ilvl w:val="0"/>
          <w:numId w:val="1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طهارة الماسح والممسوح .</w:t>
      </w:r>
    </w:p>
    <w:p w:rsidR="00974460" w:rsidRPr="00A256A7" w:rsidRDefault="00974460" w:rsidP="00974460">
      <w:pPr>
        <w:pStyle w:val="NoSpacing"/>
        <w:tabs>
          <w:tab w:val="left" w:pos="-2"/>
        </w:tabs>
        <w:spacing w:line="312" w:lineRule="auto"/>
        <w:ind w:left="781"/>
        <w:jc w:val="both"/>
        <w:rPr>
          <w:rFonts w:asciiTheme="minorBidi" w:hAnsiTheme="minorBidi" w:cstheme="minorBidi"/>
          <w:sz w:val="32"/>
          <w:szCs w:val="32"/>
          <w:rtl/>
        </w:rPr>
      </w:pPr>
    </w:p>
    <w:p w:rsidR="00974460" w:rsidRPr="00A256A7" w:rsidRDefault="00974460" w:rsidP="00974460">
      <w:pPr>
        <w:pStyle w:val="NoSpacing"/>
        <w:tabs>
          <w:tab w:val="left" w:pos="-2"/>
        </w:tabs>
        <w:spacing w:line="312" w:lineRule="auto"/>
        <w:ind w:left="-2" w:firstLine="423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ولا يُصار إلى التيمم إلاَّ مع وجود المسوّغ لذلك ، والمسوّغ هو العجز عن استعمال الماء ، إمّا :</w:t>
      </w:r>
    </w:p>
    <w:p w:rsidR="00974460" w:rsidRPr="00A256A7" w:rsidRDefault="00974460" w:rsidP="00974460">
      <w:pPr>
        <w:pStyle w:val="NoSpacing"/>
        <w:numPr>
          <w:ilvl w:val="0"/>
          <w:numId w:val="2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>لعدم وجوده .</w:t>
      </w:r>
    </w:p>
    <w:p w:rsidR="00974460" w:rsidRPr="00A256A7" w:rsidRDefault="00974460" w:rsidP="00974460">
      <w:pPr>
        <w:pStyle w:val="NoSpacing"/>
        <w:numPr>
          <w:ilvl w:val="0"/>
          <w:numId w:val="2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أو لعدم إمكان الوصول إليه .</w:t>
      </w:r>
    </w:p>
    <w:p w:rsidR="00974460" w:rsidRPr="00A256A7" w:rsidRDefault="00974460" w:rsidP="00974460">
      <w:pPr>
        <w:pStyle w:val="NoSpacing"/>
        <w:numPr>
          <w:ilvl w:val="0"/>
          <w:numId w:val="2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أو للخوف عن استعماله على نفسه أو غيره من مرض أو تلف .</w:t>
      </w:r>
    </w:p>
    <w:p w:rsidR="00974460" w:rsidRPr="00A256A7" w:rsidRDefault="00974460" w:rsidP="00974460">
      <w:pPr>
        <w:pStyle w:val="NoSpacing"/>
        <w:numPr>
          <w:ilvl w:val="0"/>
          <w:numId w:val="2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t xml:space="preserve"> أو لوجود الحرج في تحصيله أو في استعماله .</w:t>
      </w:r>
    </w:p>
    <w:p w:rsidR="00974460" w:rsidRPr="00A256A7" w:rsidRDefault="00974460" w:rsidP="00974460">
      <w:pPr>
        <w:pStyle w:val="NoSpacing"/>
        <w:numPr>
          <w:ilvl w:val="0"/>
          <w:numId w:val="2"/>
        </w:numPr>
        <w:tabs>
          <w:tab w:val="left" w:pos="-2"/>
        </w:tabs>
        <w:spacing w:line="312" w:lineRule="auto"/>
        <w:jc w:val="both"/>
        <w:rPr>
          <w:rFonts w:asciiTheme="minorBidi" w:hAnsiTheme="minorBidi" w:cstheme="minorBidi"/>
          <w:sz w:val="32"/>
          <w:szCs w:val="32"/>
        </w:rPr>
      </w:pPr>
      <w:r w:rsidRPr="00A256A7">
        <w:rPr>
          <w:rFonts w:asciiTheme="minorBidi" w:hAnsiTheme="minorBidi" w:cstheme="minorBidi"/>
          <w:sz w:val="32"/>
          <w:szCs w:val="32"/>
          <w:rtl/>
        </w:rPr>
        <w:lastRenderedPageBreak/>
        <w:t xml:space="preserve"> أو لمعارضة استعماله مع واجب أهم كما إذا كان بدنه أو ثوبه نجساً والماء لا يكفي إلاَّ لأحد الأمرين .</w:t>
      </w:r>
    </w:p>
    <w:p w:rsidR="00F6441B" w:rsidRDefault="00974460" w:rsidP="00974460">
      <w:r w:rsidRPr="00A256A7">
        <w:rPr>
          <w:rFonts w:asciiTheme="minorBidi" w:hAnsiTheme="minorBidi"/>
          <w:sz w:val="32"/>
          <w:szCs w:val="32"/>
          <w:rtl/>
        </w:rPr>
        <w:t>أو لضيق الوقت عن استعماله</w:t>
      </w:r>
      <w:bookmarkStart w:id="0" w:name="_GoBack"/>
      <w:bookmarkEnd w:id="0"/>
    </w:p>
    <w:sectPr w:rsidR="00F64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76" w:rsidRDefault="00890876" w:rsidP="00974460">
      <w:pPr>
        <w:spacing w:after="0" w:line="240" w:lineRule="auto"/>
      </w:pPr>
      <w:r>
        <w:separator/>
      </w:r>
    </w:p>
  </w:endnote>
  <w:endnote w:type="continuationSeparator" w:id="0">
    <w:p w:rsidR="00890876" w:rsidRDefault="00890876" w:rsidP="00974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madali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DecoType Naskh Variant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l-Sadiq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76" w:rsidRDefault="00890876" w:rsidP="00974460">
      <w:pPr>
        <w:spacing w:after="0" w:line="240" w:lineRule="auto"/>
      </w:pPr>
      <w:r>
        <w:separator/>
      </w:r>
    </w:p>
  </w:footnote>
  <w:footnote w:type="continuationSeparator" w:id="0">
    <w:p w:rsidR="00890876" w:rsidRDefault="00890876" w:rsidP="00974460">
      <w:pPr>
        <w:spacing w:after="0" w:line="240" w:lineRule="auto"/>
      </w:pPr>
      <w:r>
        <w:continuationSeparator/>
      </w:r>
    </w:p>
  </w:footnote>
  <w:footnote w:id="1">
    <w:p w:rsidR="00974460" w:rsidRPr="00C0492A" w:rsidRDefault="00974460" w:rsidP="00974460">
      <w:pPr>
        <w:pStyle w:val="FootnoteText"/>
        <w:ind w:left="284" w:hanging="284"/>
        <w:rPr>
          <w:rFonts w:ascii="ahmadali" w:hAnsi="ahmadali" w:cs="Al-Sadiq Bold"/>
          <w:sz w:val="28"/>
          <w:szCs w:val="28"/>
          <w:rtl/>
          <w:lang w:bidi="ar-IQ"/>
        </w:rPr>
      </w:pPr>
      <w:r w:rsidRPr="00C0492A">
        <w:rPr>
          <w:rFonts w:ascii="ahmadali" w:hAnsi="ahmadali" w:cs="Al-Sadiq Bold"/>
          <w:sz w:val="28"/>
          <w:szCs w:val="28"/>
          <w:rtl/>
        </w:rPr>
        <w:t>(</w:t>
      </w:r>
      <w:r w:rsidRPr="00C0492A">
        <w:rPr>
          <w:rStyle w:val="FootnoteReference"/>
          <w:rFonts w:ascii="ahmadali" w:hAnsi="ahmadali" w:cs="Al-Sadiq Bold"/>
          <w:sz w:val="28"/>
          <w:szCs w:val="28"/>
        </w:rPr>
        <w:footnoteRef/>
      </w:r>
      <w:r w:rsidRPr="00C0492A">
        <w:rPr>
          <w:rFonts w:ascii="ahmadali" w:hAnsi="ahmadali" w:cs="Al-Sadiq Bold"/>
          <w:sz w:val="28"/>
          <w:szCs w:val="28"/>
          <w:rtl/>
        </w:rPr>
        <w:t xml:space="preserve">) </w:t>
      </w:r>
      <w:r w:rsidRPr="00C0492A">
        <w:rPr>
          <w:rFonts w:ascii="ahmadali" w:hAnsi="ahmadali" w:cs="Al-Sadiq Bold" w:hint="cs"/>
          <w:sz w:val="28"/>
          <w:szCs w:val="28"/>
          <w:rtl/>
          <w:lang w:bidi="ar-IQ"/>
        </w:rPr>
        <w:t>علي المشكيني ، مصطلحات الفقه ، 175 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3C8"/>
    <w:multiLevelType w:val="hybridMultilevel"/>
    <w:tmpl w:val="F71454D8"/>
    <w:lvl w:ilvl="0" w:tplc="621C2E1A">
      <w:start w:val="1"/>
      <w:numFmt w:val="decimal"/>
      <w:lvlText w:val="%1-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">
    <w:nsid w:val="39343579"/>
    <w:multiLevelType w:val="hybridMultilevel"/>
    <w:tmpl w:val="622A5532"/>
    <w:lvl w:ilvl="0" w:tplc="5F1E6962">
      <w:start w:val="1"/>
      <w:numFmt w:val="decimal"/>
      <w:lvlText w:val="%1-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E3"/>
    <w:rsid w:val="00890876"/>
    <w:rsid w:val="00974460"/>
    <w:rsid w:val="00A12EE3"/>
    <w:rsid w:val="00F6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46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4460"/>
    <w:pPr>
      <w:bidi/>
      <w:spacing w:after="0" w:line="240" w:lineRule="auto"/>
    </w:pPr>
    <w:rPr>
      <w:rFonts w:ascii="Calibri" w:eastAsia="Calibri" w:hAnsi="Calibri"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974460"/>
    <w:pPr>
      <w:widowControl w:val="0"/>
      <w:spacing w:before="120" w:after="120" w:line="240" w:lineRule="auto"/>
      <w:ind w:firstLine="567"/>
      <w:jc w:val="both"/>
    </w:pPr>
    <w:rPr>
      <w:rFonts w:ascii="Calibri" w:eastAsia="Calibri" w:hAnsi="Calibri" w:cs="ahmadali"/>
      <w:spacing w:val="-8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4460"/>
    <w:rPr>
      <w:rFonts w:ascii="Calibri" w:eastAsia="Calibri" w:hAnsi="Calibri" w:cs="ahmadali"/>
      <w:spacing w:val="-8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744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46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4460"/>
    <w:pPr>
      <w:bidi/>
      <w:spacing w:after="0" w:line="240" w:lineRule="auto"/>
    </w:pPr>
    <w:rPr>
      <w:rFonts w:ascii="Calibri" w:eastAsia="Calibri" w:hAnsi="Calibri"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974460"/>
    <w:pPr>
      <w:widowControl w:val="0"/>
      <w:spacing w:before="120" w:after="120" w:line="240" w:lineRule="auto"/>
      <w:ind w:firstLine="567"/>
      <w:jc w:val="both"/>
    </w:pPr>
    <w:rPr>
      <w:rFonts w:ascii="Calibri" w:eastAsia="Calibri" w:hAnsi="Calibri" w:cs="ahmadali"/>
      <w:spacing w:val="-8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4460"/>
    <w:rPr>
      <w:rFonts w:ascii="Calibri" w:eastAsia="Calibri" w:hAnsi="Calibri" w:cs="ahmadali"/>
      <w:spacing w:val="-8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744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2016-04-14T05:48:00Z</dcterms:created>
  <dcterms:modified xsi:type="dcterms:W3CDTF">2016-04-14T05:48:00Z</dcterms:modified>
</cp:coreProperties>
</file>