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D13" w:rsidRPr="003D6E4A" w:rsidRDefault="00EE3D13" w:rsidP="00EE3D13">
      <w:pPr>
        <w:spacing w:before="40" w:after="40" w:line="320" w:lineRule="exact"/>
        <w:ind w:firstLine="567"/>
        <w:jc w:val="both"/>
        <w:rPr>
          <w:rFonts w:cs="Arabic Transparent"/>
          <w:sz w:val="32"/>
          <w:szCs w:val="32"/>
          <w:rtl/>
        </w:rPr>
      </w:pPr>
      <w:bookmarkStart w:id="0" w:name="_GoBack"/>
      <w:r w:rsidRPr="003D6E4A">
        <w:rPr>
          <w:rFonts w:cs="Arabic Transparent"/>
          <w:sz w:val="32"/>
          <w:szCs w:val="32"/>
          <w:rtl/>
        </w:rPr>
        <w:t>مثّل وأخرج أكثر من ستين مسرحية غنائية له ولغيره، ألّف منها حوالي خمس عشرة مسرحية، ولم يصلنا منها سوى ثماني مسرحيات، نقلها لنا الدكتور محمد يوسف نجم في كتابه الشيخ أحمد أبو خليل القباني، وهي على التوالي:</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1- رواية "هارون الرشيد مع الأمير غانم بن أيوب وقوت القلوب"، وهي تاريخية غرامية أدبية تلحينية تشخيصية ذات خمسة فصول.</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2- رواية "هارون الرشيد مع أنس الجليس" تشخيصية ذات خمسة فصول.</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 xml:space="preserve">3- رواية "الأمير محمود نجل شاه العجم"، وهي غرامية أدبية تلحينية تشخيصية ذات خمسة فصول. </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4- رواية "عفيفة" تاريخية أدبية أخلاقية تمثيلية تلحينية ذات خمسة فصول. وهي مستوحاة من مسرحية "جنفياف"، وقد تردّدت في الكتب الدينية وسير القديسين.</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 xml:space="preserve">5- رواية "عنتر بن شداد" تاريخية أدبية غرامية حربية تلحينية تشخيصية ذات أربعة فصول. </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6- رواية "لباب الغرام" أو "الملك متريدات" تشخيصية ذات خمسة فصول، وهي رواية أدبية غرامية حربية. وهي من تأليف جان راسين ترجمها سليم النقاش، ثم اقتبسها القباني، ولم يكن يتقن  اللغة الفرنسية.</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7- رواية "حيل النساء" "الشهيرة بلوسيا"، وهي رواية تمثيلية غرامية أدبية ذات أربعة فصول.</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8- ناكر الجميل.</w:t>
      </w:r>
    </w:p>
    <w:p w:rsidR="00EE3D13" w:rsidRPr="003D6E4A" w:rsidRDefault="00EE3D13" w:rsidP="00EE3D13">
      <w:pPr>
        <w:spacing w:before="40" w:after="40" w:line="320" w:lineRule="exact"/>
        <w:ind w:firstLine="567"/>
        <w:jc w:val="both"/>
        <w:rPr>
          <w:rFonts w:cs="Arabic Transparent"/>
          <w:sz w:val="32"/>
          <w:szCs w:val="32"/>
          <w:rtl/>
        </w:rPr>
      </w:pPr>
      <w:r w:rsidRPr="003D6E4A">
        <w:rPr>
          <w:rFonts w:cs="Arabic Transparent"/>
          <w:sz w:val="32"/>
          <w:szCs w:val="32"/>
          <w:rtl/>
        </w:rPr>
        <w:t>تنتاب مسرحيات القباني عيوب كثيرة، أهمها:</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1- سيطرة الغناء والشعر الغنائي والرقص والموسيقا والموشحات على بنية العمل المسرحي، ولذلك فإنّ الموسيقا والغناء يأتيان أولاً في مسرحه، وهذا مادفع محمود تيمور إلى أن يقول:"13"</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"وكان أكبر مايعنيه في التمثيل إتقان الألحان الموسيقية والغنائية والأفتنان في توفير الرقصات الإيقاعية".</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2- معظم مسرحياته مستمدة من الحكايات الشعبية، وخاصة "ألف ليلة وليلة"، وهو لم يستطع عامة أن يغيّر في أحداث الحكاية الأصلية، وكأنّ عمله اقتصر على توزيع الحوار على الشخصيات.</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3- ضعف الحبكة لسيطرة الغناء والموسيقا، وخلو مسرحياته من الشخصيات المتماسكة المتنامية التي وجدناها عند سلفه النقاش.</w:t>
      </w:r>
    </w:p>
    <w:p w:rsidR="00EE3D13" w:rsidRPr="003D6E4A" w:rsidRDefault="00EE3D13" w:rsidP="00EE3D13">
      <w:pPr>
        <w:spacing w:before="40" w:after="40" w:line="320" w:lineRule="exact"/>
        <w:ind w:firstLine="567"/>
        <w:jc w:val="both"/>
        <w:rPr>
          <w:rFonts w:cs="Arabic Transparent"/>
          <w:sz w:val="32"/>
          <w:szCs w:val="32"/>
          <w:rtl/>
        </w:rPr>
      </w:pPr>
      <w:r w:rsidRPr="003D6E4A">
        <w:rPr>
          <w:rFonts w:cs="Arabic Transparent"/>
          <w:sz w:val="32"/>
          <w:szCs w:val="32"/>
          <w:rtl/>
        </w:rPr>
        <w:t>ومع ذلك يظلّ القباني رائداً من رواد المسرح ناضل ليرسي دعائم هذا الفن في مجتمع لم يتهيأ بعد لمثل هذا الفن، وخلّف تلاميذ له في سورية، وأهمهم اثنان: المعلم داود قسطنطين الخوري (1860- 1939)، وكان الآخر موسيقياً، أخلص لفن القباني، فألّف المسرحيات التالية:</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1- "مثال العفاف في رواية الأميرة جنفياف" مثلت في حمص 1890</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2- "الصدف المدهشة"</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3- اليتيمة المسكوبية"</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4- عمر بن الخطاب والعجوز.</w:t>
      </w:r>
    </w:p>
    <w:p w:rsidR="00EE3D13" w:rsidRPr="003D6E4A" w:rsidRDefault="00EE3D13" w:rsidP="00EE3D13">
      <w:pPr>
        <w:spacing w:before="40" w:after="40" w:line="320" w:lineRule="exact"/>
        <w:ind w:left="284" w:hanging="284"/>
        <w:jc w:val="both"/>
        <w:rPr>
          <w:rFonts w:cs="Arabic Transparent"/>
          <w:sz w:val="32"/>
          <w:szCs w:val="32"/>
          <w:rtl/>
        </w:rPr>
      </w:pPr>
      <w:r w:rsidRPr="003D6E4A">
        <w:rPr>
          <w:rFonts w:cs="Arabic Transparent"/>
          <w:sz w:val="32"/>
          <w:szCs w:val="32"/>
          <w:rtl/>
        </w:rPr>
        <w:t>5- الابن الضال"14"</w:t>
      </w:r>
    </w:p>
    <w:p w:rsidR="00EE3D13" w:rsidRPr="003D6E4A" w:rsidRDefault="00EE3D13" w:rsidP="00EE3D13">
      <w:pPr>
        <w:spacing w:before="40" w:after="40" w:line="320" w:lineRule="exact"/>
        <w:ind w:firstLine="567"/>
        <w:jc w:val="both"/>
        <w:rPr>
          <w:rFonts w:cs="Arabic Transparent"/>
          <w:sz w:val="32"/>
          <w:szCs w:val="32"/>
          <w:rtl/>
        </w:rPr>
      </w:pPr>
      <w:r w:rsidRPr="003D6E4A">
        <w:rPr>
          <w:rFonts w:cs="Arabic Transparent"/>
          <w:sz w:val="32"/>
          <w:szCs w:val="32"/>
          <w:rtl/>
        </w:rPr>
        <w:lastRenderedPageBreak/>
        <w:t>ولكنّ هذه المسرحيات كانت محدودة الأثر، إذ مثّلها تلاميذ مدرسة الروم الأرثوذكس بحمص، وكان الرجل معلّماً فيها، وهي روايات تمثيلية ذات عيوب كثيرة.</w:t>
      </w:r>
    </w:p>
    <w:p w:rsidR="001C6E0E" w:rsidRPr="003D6E4A" w:rsidRDefault="00EE3D13" w:rsidP="00EE3D13">
      <w:pPr>
        <w:rPr>
          <w:sz w:val="32"/>
          <w:szCs w:val="32"/>
        </w:rPr>
      </w:pPr>
      <w:r w:rsidRPr="003D6E4A">
        <w:rPr>
          <w:rFonts w:cs="Arabic Transparent"/>
          <w:sz w:val="32"/>
          <w:szCs w:val="32"/>
          <w:rtl/>
        </w:rPr>
        <w:t>أما تلميذه الثاني فهو معروف الأرناؤوط (1893- 1948) الذي ترجم عدة مسرحيات، ومنها "حرب المائدة" و"ديانا" و"الستار الأسود" و"محمد"، وألّف عدة مسرحيات، منها "أبو عبد اللَّه الصغير" و"الرجوع إلى أدرنة" و"الشريف" و"عمر بن العاص"، ولايختلف هذا المؤلف عن سلفه.</w:t>
      </w:r>
      <w:bookmarkEnd w:id="0"/>
    </w:p>
    <w:sectPr w:rsidR="001C6E0E" w:rsidRPr="003D6E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9F8"/>
    <w:rsid w:val="001C6E0E"/>
    <w:rsid w:val="002B79F8"/>
    <w:rsid w:val="003D6E4A"/>
    <w:rsid w:val="00EE3D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D13"/>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D13"/>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2027</Characters>
  <Application>Microsoft Office Word</Application>
  <DocSecurity>0</DocSecurity>
  <Lines>16</Lines>
  <Paragraphs>4</Paragraphs>
  <ScaleCrop>false</ScaleCrop>
  <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3</cp:revision>
  <dcterms:created xsi:type="dcterms:W3CDTF">2016-03-27T10:34:00Z</dcterms:created>
  <dcterms:modified xsi:type="dcterms:W3CDTF">2016-04-06T10:56:00Z</dcterms:modified>
</cp:coreProperties>
</file>