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966" w:rsidRPr="00BF26AB" w:rsidRDefault="00520966" w:rsidP="00520966">
      <w:pPr>
        <w:shd w:val="clear" w:color="auto" w:fill="FFFFFF"/>
        <w:bidi w:val="0"/>
        <w:spacing w:after="0" w:line="270" w:lineRule="atLeast"/>
        <w:jc w:val="center"/>
        <w:outlineLvl w:val="0"/>
        <w:rPr>
          <w:rFonts w:ascii="Tahoma" w:eastAsia="Times New Roman" w:hAnsi="Tahoma" w:cs="Tahoma"/>
          <w:b/>
          <w:bCs/>
          <w:caps/>
          <w:color w:val="676767"/>
          <w:kern w:val="36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F26AB">
        <w:rPr>
          <w:rFonts w:ascii="Arial" w:eastAsia="Times New Roman" w:hAnsi="Arial" w:cs="Arial"/>
          <w:b/>
          <w:bCs/>
          <w:caps/>
          <w:color w:val="0895D6"/>
          <w:kern w:val="36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Types of White Blood Cells (WBC's)</w:t>
      </w:r>
      <w:bookmarkStart w:id="0" w:name="_GoBack"/>
      <w:bookmarkEnd w:id="0"/>
    </w:p>
    <w:p w:rsidR="00520966" w:rsidRPr="0004169D" w:rsidRDefault="00520966" w:rsidP="0052096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JansonText-Roman" w:cs="JansonText-Roman"/>
          <w:b/>
          <w:bCs/>
          <w:color w:val="231F20"/>
          <w:sz w:val="32"/>
          <w:szCs w:val="32"/>
        </w:rPr>
      </w:pPr>
      <w:r>
        <w:rPr>
          <w:rFonts w:ascii="JansonText-Roman" w:cs="JansonText-Roman"/>
          <w:b/>
          <w:bCs/>
          <w:color w:val="231F20"/>
          <w:sz w:val="32"/>
          <w:szCs w:val="32"/>
        </w:rPr>
        <w:t xml:space="preserve">         </w:t>
      </w:r>
      <w:r w:rsidRPr="0004169D">
        <w:rPr>
          <w:rFonts w:ascii="JansonText-Roman" w:cs="JansonText-Roman"/>
          <w:b/>
          <w:bCs/>
          <w:color w:val="231F20"/>
          <w:sz w:val="32"/>
          <w:szCs w:val="32"/>
        </w:rPr>
        <w:t xml:space="preserve">The five kinds of white blood cells, all produced in the red bone marrow (and some lymphocytes in lymphatic tissue), may be classified in two groups: </w:t>
      </w:r>
      <w:r w:rsidRPr="00BF26AB">
        <w:rPr>
          <w:rFonts w:ascii="JansonText-Roman" w:cs="JansonText-Roman"/>
          <w:b/>
          <w:bCs/>
          <w:color w:val="231F20"/>
          <w:sz w:val="32"/>
          <w:szCs w:val="32"/>
          <w:highlight w:val="green"/>
        </w:rPr>
        <w:t>granular</w:t>
      </w:r>
      <w:r w:rsidRPr="0004169D">
        <w:rPr>
          <w:rFonts w:ascii="JansonText-Roman" w:cs="JansonText-Roman"/>
          <w:b/>
          <w:bCs/>
          <w:color w:val="231F20"/>
          <w:sz w:val="32"/>
          <w:szCs w:val="32"/>
        </w:rPr>
        <w:t xml:space="preserve"> and </w:t>
      </w:r>
      <w:proofErr w:type="spellStart"/>
      <w:r w:rsidRPr="00BF26AB">
        <w:rPr>
          <w:rFonts w:ascii="JansonText-Roman" w:cs="JansonText-Roman"/>
          <w:b/>
          <w:bCs/>
          <w:color w:val="231F20"/>
          <w:sz w:val="32"/>
          <w:szCs w:val="32"/>
          <w:highlight w:val="magenta"/>
        </w:rPr>
        <w:t>agranular</w:t>
      </w:r>
      <w:proofErr w:type="spellEnd"/>
      <w:r w:rsidRPr="00BF26AB">
        <w:rPr>
          <w:rFonts w:ascii="JansonText-Roman" w:cs="JansonText-Roman"/>
          <w:b/>
          <w:bCs/>
          <w:color w:val="231F20"/>
          <w:sz w:val="32"/>
          <w:szCs w:val="32"/>
          <w:highlight w:val="magenta"/>
        </w:rPr>
        <w:t>.</w:t>
      </w:r>
      <w:r w:rsidRPr="0004169D">
        <w:rPr>
          <w:rFonts w:ascii="JansonText-Roman" w:cs="JansonText-Roman"/>
          <w:b/>
          <w:bCs/>
          <w:color w:val="231F20"/>
          <w:sz w:val="32"/>
          <w:szCs w:val="32"/>
        </w:rPr>
        <w:t xml:space="preserve"> The granular leukocytes are the </w:t>
      </w:r>
      <w:r w:rsidRPr="00BF26AB">
        <w:rPr>
          <w:rFonts w:ascii="JansonText-Bold" w:cs="JansonText-Bold"/>
          <w:b/>
          <w:bCs/>
          <w:color w:val="231F20"/>
          <w:sz w:val="32"/>
          <w:szCs w:val="32"/>
          <w:highlight w:val="green"/>
        </w:rPr>
        <w:t>neutrophils</w:t>
      </w:r>
      <w:r w:rsidRPr="00BF26AB">
        <w:rPr>
          <w:rFonts w:ascii="JansonText-Roman" w:cs="JansonText-Roman"/>
          <w:b/>
          <w:bCs/>
          <w:color w:val="231F20"/>
          <w:sz w:val="32"/>
          <w:szCs w:val="32"/>
          <w:highlight w:val="green"/>
        </w:rPr>
        <w:t xml:space="preserve">, </w:t>
      </w:r>
      <w:proofErr w:type="spellStart"/>
      <w:r w:rsidRPr="00BF26AB">
        <w:rPr>
          <w:rFonts w:ascii="JansonText-Bold" w:cs="JansonText-Bold"/>
          <w:b/>
          <w:bCs/>
          <w:color w:val="231F20"/>
          <w:sz w:val="32"/>
          <w:szCs w:val="32"/>
          <w:highlight w:val="green"/>
        </w:rPr>
        <w:t>eosinophils</w:t>
      </w:r>
      <w:proofErr w:type="spellEnd"/>
      <w:r w:rsidRPr="00BF26AB">
        <w:rPr>
          <w:rFonts w:ascii="JansonText-Roman" w:cs="JansonText-Roman"/>
          <w:b/>
          <w:bCs/>
          <w:color w:val="231F20"/>
          <w:sz w:val="32"/>
          <w:szCs w:val="32"/>
          <w:highlight w:val="green"/>
        </w:rPr>
        <w:t xml:space="preserve">, and </w:t>
      </w:r>
      <w:r w:rsidRPr="00BF26AB">
        <w:rPr>
          <w:rFonts w:ascii="JansonText-Bold" w:cs="JansonText-Bold"/>
          <w:b/>
          <w:bCs/>
          <w:color w:val="231F20"/>
          <w:sz w:val="32"/>
          <w:szCs w:val="32"/>
          <w:highlight w:val="green"/>
        </w:rPr>
        <w:t>basophils</w:t>
      </w:r>
      <w:r w:rsidRPr="0004169D">
        <w:rPr>
          <w:rFonts w:ascii="JansonText-Roman" w:cs="JansonText-Roman"/>
          <w:b/>
          <w:bCs/>
          <w:color w:val="231F20"/>
          <w:sz w:val="32"/>
          <w:szCs w:val="32"/>
        </w:rPr>
        <w:t>, which usually have nuclei in two</w:t>
      </w:r>
      <w:r>
        <w:rPr>
          <w:rFonts w:ascii="JansonText-Roman" w:cs="JansonText-Roman"/>
          <w:b/>
          <w:bCs/>
          <w:color w:val="231F20"/>
          <w:sz w:val="32"/>
          <w:szCs w:val="32"/>
        </w:rPr>
        <w:t xml:space="preserve"> or more lobes or segments, and </w:t>
      </w:r>
      <w:r w:rsidRPr="0004169D">
        <w:rPr>
          <w:rFonts w:ascii="JansonText-Roman" w:cs="JansonText-Roman"/>
          <w:b/>
          <w:bCs/>
          <w:color w:val="231F20"/>
          <w:sz w:val="32"/>
          <w:szCs w:val="32"/>
        </w:rPr>
        <w:t xml:space="preserve">have distinctly colored granules when stained. Neutrophils have light blue granules, </w:t>
      </w:r>
      <w:proofErr w:type="spellStart"/>
      <w:r w:rsidRPr="0004169D">
        <w:rPr>
          <w:rFonts w:ascii="JansonText-Roman" w:cs="JansonText-Roman"/>
          <w:b/>
          <w:bCs/>
          <w:color w:val="231F20"/>
          <w:sz w:val="32"/>
          <w:szCs w:val="32"/>
        </w:rPr>
        <w:t>eosinophils</w:t>
      </w:r>
      <w:proofErr w:type="spellEnd"/>
      <w:r w:rsidRPr="0004169D">
        <w:rPr>
          <w:rFonts w:ascii="JansonText-Roman" w:cs="JansonText-Roman"/>
          <w:b/>
          <w:bCs/>
          <w:color w:val="231F20"/>
          <w:sz w:val="32"/>
          <w:szCs w:val="32"/>
        </w:rPr>
        <w:t xml:space="preserve"> have red granules, and basophils have dark blue granules.</w:t>
      </w:r>
      <w:r>
        <w:rPr>
          <w:rFonts w:ascii="JansonText-Roman" w:cs="JansonText-Roman"/>
          <w:b/>
          <w:bCs/>
          <w:color w:val="231F20"/>
          <w:sz w:val="32"/>
          <w:szCs w:val="32"/>
        </w:rPr>
        <w:t xml:space="preserve"> </w:t>
      </w:r>
      <w:r w:rsidRPr="0004169D">
        <w:rPr>
          <w:rFonts w:ascii="JansonText-Roman" w:cs="JansonText-Roman"/>
          <w:b/>
          <w:bCs/>
          <w:color w:val="231F20"/>
          <w:sz w:val="32"/>
          <w:szCs w:val="32"/>
        </w:rPr>
        <w:t xml:space="preserve">The </w:t>
      </w:r>
      <w:r w:rsidRPr="00230451">
        <w:rPr>
          <w:rFonts w:ascii="JansonText-Roman" w:cs="JansonText-Roman"/>
          <w:b/>
          <w:bCs/>
          <w:color w:val="231F20"/>
          <w:sz w:val="32"/>
          <w:szCs w:val="32"/>
          <w:highlight w:val="magenta"/>
        </w:rPr>
        <w:t>a granular</w:t>
      </w:r>
      <w:r w:rsidRPr="0004169D">
        <w:rPr>
          <w:rFonts w:ascii="JansonText-Roman" w:cs="JansonText-Roman"/>
          <w:b/>
          <w:bCs/>
          <w:color w:val="231F20"/>
          <w:sz w:val="32"/>
          <w:szCs w:val="32"/>
        </w:rPr>
        <w:t xml:space="preserve"> leukocytes are </w:t>
      </w:r>
      <w:r w:rsidRPr="00230451">
        <w:rPr>
          <w:rFonts w:ascii="JansonText-Bold" w:cs="JansonText-Bold"/>
          <w:b/>
          <w:bCs/>
          <w:color w:val="231F20"/>
          <w:sz w:val="32"/>
          <w:szCs w:val="32"/>
          <w:highlight w:val="magenta"/>
        </w:rPr>
        <w:t xml:space="preserve">lymphocytes </w:t>
      </w:r>
      <w:r w:rsidRPr="00230451">
        <w:rPr>
          <w:rFonts w:ascii="JansonText-Roman" w:cs="JansonText-Roman"/>
          <w:b/>
          <w:bCs/>
          <w:color w:val="231F20"/>
          <w:sz w:val="32"/>
          <w:szCs w:val="32"/>
          <w:highlight w:val="magenta"/>
        </w:rPr>
        <w:t xml:space="preserve">and </w:t>
      </w:r>
      <w:r w:rsidRPr="00230451">
        <w:rPr>
          <w:rFonts w:ascii="JansonText-Bold" w:cs="JansonText-Bold"/>
          <w:b/>
          <w:bCs/>
          <w:color w:val="231F20"/>
          <w:sz w:val="32"/>
          <w:szCs w:val="32"/>
          <w:highlight w:val="magenta"/>
        </w:rPr>
        <w:t>monocytes</w:t>
      </w:r>
      <w:r w:rsidRPr="0004169D">
        <w:rPr>
          <w:rFonts w:ascii="JansonText-Roman" w:cs="JansonText-Roman"/>
          <w:b/>
          <w:bCs/>
          <w:color w:val="231F20"/>
          <w:sz w:val="32"/>
          <w:szCs w:val="32"/>
        </w:rPr>
        <w:t>, which have nuclei in one piece.</w:t>
      </w:r>
    </w:p>
    <w:p w:rsidR="00520966" w:rsidRDefault="00520966" w:rsidP="0052096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cs="JansonText-Roman"/>
          <w:b/>
          <w:bCs/>
          <w:color w:val="231F20"/>
          <w:sz w:val="32"/>
          <w:szCs w:val="32"/>
        </w:rPr>
      </w:pPr>
      <w:r w:rsidRPr="0004169D">
        <w:rPr>
          <w:rFonts w:ascii="JansonText-Roman" w:cs="JansonText-Roman"/>
          <w:b/>
          <w:bCs/>
          <w:color w:val="231F20"/>
          <w:sz w:val="32"/>
          <w:szCs w:val="32"/>
        </w:rPr>
        <w:t xml:space="preserve">Monocytes are usually quite a bit larger than lymphocytes. A </w:t>
      </w:r>
      <w:r w:rsidRPr="0004169D">
        <w:rPr>
          <w:rFonts w:ascii="JansonText-Bold" w:cs="JansonText-Bold"/>
          <w:b/>
          <w:bCs/>
          <w:color w:val="231F20"/>
          <w:sz w:val="32"/>
          <w:szCs w:val="32"/>
        </w:rPr>
        <w:t xml:space="preserve">differential WBC count </w:t>
      </w:r>
      <w:r w:rsidRPr="0004169D">
        <w:rPr>
          <w:rFonts w:ascii="JansonText-Roman" w:cs="JansonText-Roman"/>
          <w:b/>
          <w:bCs/>
          <w:color w:val="231F20"/>
          <w:sz w:val="32"/>
          <w:szCs w:val="32"/>
        </w:rPr>
        <w:t>(part of a CBC) is the percentage of each kind of leukocyte</w:t>
      </w:r>
      <w:r>
        <w:rPr>
          <w:rFonts w:ascii="JansonText-Roman" w:cs="JansonText-Roman"/>
          <w:b/>
          <w:bCs/>
          <w:color w:val="231F20"/>
          <w:sz w:val="32"/>
          <w:szCs w:val="32"/>
        </w:rPr>
        <w:t>.</w:t>
      </w:r>
    </w:p>
    <w:p w:rsidR="00520966" w:rsidRDefault="00520966" w:rsidP="0052096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cs="JansonText-Roman"/>
          <w:b/>
          <w:bCs/>
          <w:color w:val="231F20"/>
          <w:sz w:val="32"/>
          <w:szCs w:val="32"/>
        </w:rPr>
      </w:pPr>
    </w:p>
    <w:p w:rsidR="00520966" w:rsidRDefault="00520966" w:rsidP="00520966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cs="JansonText-Roman"/>
          <w:b/>
          <w:bCs/>
          <w:color w:val="231F20"/>
          <w:sz w:val="32"/>
          <w:szCs w:val="32"/>
        </w:rPr>
      </w:pPr>
      <w:r>
        <w:rPr>
          <w:noProof/>
        </w:rPr>
        <w:drawing>
          <wp:inline distT="0" distB="0" distL="0" distR="0" wp14:anchorId="41AD16A7" wp14:editId="284AD0CC">
            <wp:extent cx="4294739" cy="2552700"/>
            <wp:effectExtent l="0" t="0" r="0" b="0"/>
            <wp:docPr id="12" name="صورة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3560" cy="2557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0966" w:rsidRPr="003D3B84" w:rsidRDefault="00520966" w:rsidP="0052096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8AD0"/>
          <w:sz w:val="36"/>
          <w:szCs w:val="36"/>
        </w:rPr>
      </w:pPr>
      <w:r w:rsidRPr="003D3B84">
        <w:rPr>
          <w:rFonts w:asciiTheme="majorBidi" w:hAnsiTheme="majorBidi" w:cstheme="majorBidi"/>
          <w:b/>
          <w:bCs/>
          <w:color w:val="008AD0"/>
          <w:sz w:val="36"/>
          <w:szCs w:val="36"/>
        </w:rPr>
        <w:t>Functions</w:t>
      </w:r>
    </w:p>
    <w:p w:rsidR="00520966" w:rsidRDefault="00520966" w:rsidP="0052096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  <w:r w:rsidRPr="003D3B84">
        <w:rPr>
          <w:rFonts w:asciiTheme="majorBidi" w:hAnsiTheme="majorBidi" w:cstheme="majorBidi"/>
          <w:b/>
          <w:bCs/>
          <w:color w:val="231F20"/>
          <w:sz w:val="32"/>
          <w:szCs w:val="32"/>
        </w:rPr>
        <w:t>White blood cells all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 contribute to the same general </w:t>
      </w:r>
      <w:r w:rsidRPr="003D3B84">
        <w:rPr>
          <w:rFonts w:asciiTheme="majorBidi" w:hAnsiTheme="majorBidi" w:cstheme="majorBidi"/>
          <w:b/>
          <w:bCs/>
          <w:color w:val="231F20"/>
          <w:sz w:val="32"/>
          <w:szCs w:val="32"/>
        </w:rPr>
        <w:t>function, which is to p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rotect the body from infectious </w:t>
      </w:r>
      <w:r w:rsidRPr="003D3B84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disease and to provide immunity 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to certain diseases. </w:t>
      </w:r>
      <w:r w:rsidRPr="003D3B84">
        <w:rPr>
          <w:rFonts w:asciiTheme="majorBidi" w:hAnsiTheme="majorBidi" w:cstheme="majorBidi"/>
          <w:b/>
          <w:bCs/>
          <w:color w:val="231F20"/>
          <w:sz w:val="32"/>
          <w:szCs w:val="32"/>
        </w:rPr>
        <w:t>Each kind of leukocyte makes a contribution to this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 </w:t>
      </w:r>
      <w:r w:rsidRPr="003D3B84">
        <w:rPr>
          <w:rFonts w:asciiTheme="majorBidi" w:hAnsiTheme="majorBidi" w:cstheme="majorBidi"/>
          <w:b/>
          <w:bCs/>
          <w:color w:val="231F20"/>
          <w:sz w:val="32"/>
          <w:szCs w:val="32"/>
        </w:rPr>
        <w:t>very important aspect of homeostasis.</w:t>
      </w:r>
    </w:p>
    <w:p w:rsidR="00520966" w:rsidRPr="00DF5ACF" w:rsidRDefault="00520966" w:rsidP="0052096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  <w:r w:rsidRPr="009233EC">
        <w:rPr>
          <w:rFonts w:asciiTheme="majorBidi" w:hAnsiTheme="majorBidi" w:cstheme="majorBidi"/>
          <w:b/>
          <w:bCs/>
          <w:color w:val="231F20"/>
          <w:sz w:val="32"/>
          <w:szCs w:val="32"/>
          <w:highlight w:val="yellow"/>
        </w:rPr>
        <w:t>Neutrophils and monocytes</w:t>
      </w:r>
      <w:r w:rsidRPr="00FB31DC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 are capable of the phagocytosis 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of </w:t>
      </w:r>
      <w:r w:rsidRPr="00FB31DC">
        <w:rPr>
          <w:rFonts w:asciiTheme="majorBidi" w:hAnsiTheme="majorBidi" w:cstheme="majorBidi"/>
          <w:b/>
          <w:bCs/>
          <w:color w:val="231F20"/>
          <w:sz w:val="32"/>
          <w:szCs w:val="32"/>
        </w:rPr>
        <w:t>pathogens.</w:t>
      </w:r>
    </w:p>
    <w:p w:rsidR="00520966" w:rsidRDefault="00520966" w:rsidP="0052096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</w:p>
    <w:p w:rsidR="00520966" w:rsidRDefault="00520966" w:rsidP="00520966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color w:val="231F20"/>
          <w:sz w:val="32"/>
          <w:szCs w:val="32"/>
        </w:rPr>
        <w:lastRenderedPageBreak/>
        <w:drawing>
          <wp:inline distT="0" distB="0" distL="0" distR="0" wp14:anchorId="5938EA90" wp14:editId="778B88F3">
            <wp:extent cx="3067050" cy="2133600"/>
            <wp:effectExtent l="0" t="0" r="0" b="0"/>
            <wp:docPr id="27" name="صورة 27" descr="C:\Users\iki\Desktop\محاظرات الفسلجة\ترجمة التقنيات\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iki\Desktop\محاظرات الفسلجة\ترجمة التقنيات\2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966" w:rsidRDefault="00520966" w:rsidP="0052096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</w:p>
    <w:p w:rsidR="00520966" w:rsidRDefault="00520966" w:rsidP="0052096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  <w:r w:rsidRPr="00FB31DC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 </w:t>
      </w:r>
      <w:proofErr w:type="spellStart"/>
      <w:r w:rsidRPr="009233EC">
        <w:rPr>
          <w:rFonts w:asciiTheme="majorBidi" w:hAnsiTheme="majorBidi" w:cstheme="majorBidi"/>
          <w:b/>
          <w:bCs/>
          <w:color w:val="231F20"/>
          <w:sz w:val="32"/>
          <w:szCs w:val="32"/>
          <w:highlight w:val="yellow"/>
        </w:rPr>
        <w:t>Eosinophils</w:t>
      </w:r>
      <w:proofErr w:type="spellEnd"/>
      <w:r w:rsidRPr="00FB31DC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 a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re believed to detoxify foreign </w:t>
      </w:r>
      <w:r w:rsidRPr="00FB31DC">
        <w:rPr>
          <w:rFonts w:asciiTheme="majorBidi" w:hAnsiTheme="majorBidi" w:cstheme="majorBidi"/>
          <w:b/>
          <w:bCs/>
          <w:color w:val="231F20"/>
          <w:sz w:val="32"/>
          <w:szCs w:val="32"/>
        </w:rPr>
        <w:t>proteins and will ph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agocytize anything labeled with </w:t>
      </w:r>
      <w:r w:rsidRPr="00FB31DC">
        <w:rPr>
          <w:rFonts w:asciiTheme="majorBidi" w:hAnsiTheme="majorBidi" w:cstheme="majorBidi"/>
          <w:b/>
          <w:bCs/>
          <w:color w:val="231F20"/>
          <w:sz w:val="32"/>
          <w:szCs w:val="32"/>
        </w:rPr>
        <w:t>antibodies. This is especiall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y important in allergic </w:t>
      </w:r>
      <w:r w:rsidRPr="00FB31DC">
        <w:rPr>
          <w:rFonts w:asciiTheme="majorBidi" w:hAnsiTheme="majorBidi" w:cstheme="majorBidi"/>
          <w:b/>
          <w:bCs/>
          <w:color w:val="231F20"/>
          <w:sz w:val="32"/>
          <w:szCs w:val="32"/>
        </w:rPr>
        <w:t>reactions and parasitic infections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>.</w:t>
      </w:r>
    </w:p>
    <w:p w:rsidR="00520966" w:rsidRDefault="00520966" w:rsidP="00520966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  <w:r>
        <w:rPr>
          <w:noProof/>
        </w:rPr>
        <w:drawing>
          <wp:inline distT="0" distB="0" distL="0" distR="0" wp14:anchorId="3F11CF09" wp14:editId="29405062">
            <wp:extent cx="2511299" cy="1257300"/>
            <wp:effectExtent l="0" t="0" r="3810" b="0"/>
            <wp:docPr id="28" name="صورة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17609" cy="1260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0966" w:rsidRPr="00FB31DC" w:rsidRDefault="00520966" w:rsidP="0052096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</w:p>
    <w:p w:rsidR="00520966" w:rsidRDefault="00520966" w:rsidP="00520966">
      <w:pPr>
        <w:autoSpaceDE w:val="0"/>
        <w:autoSpaceDN w:val="0"/>
        <w:bidi w:val="0"/>
        <w:adjustRightInd w:val="0"/>
        <w:spacing w:after="0" w:line="240" w:lineRule="auto"/>
        <w:rPr>
          <w:rFonts w:ascii="JansonText-Roman" w:cs="JansonText-Roman"/>
          <w:color w:val="231F20"/>
          <w:sz w:val="20"/>
          <w:szCs w:val="20"/>
        </w:rPr>
      </w:pPr>
      <w:r w:rsidRPr="009233EC">
        <w:rPr>
          <w:rFonts w:asciiTheme="majorBidi" w:hAnsiTheme="majorBidi" w:cstheme="majorBidi"/>
          <w:b/>
          <w:bCs/>
          <w:color w:val="231F20"/>
          <w:sz w:val="32"/>
          <w:szCs w:val="32"/>
          <w:highlight w:val="yellow"/>
        </w:rPr>
        <w:t>Basophils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 contain granules of heparin </w:t>
      </w:r>
      <w:r w:rsidRPr="00DC1EF2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and histamine. Heparin 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is an anticoagulant that helps </w:t>
      </w:r>
      <w:r w:rsidRPr="00DC1EF2">
        <w:rPr>
          <w:rFonts w:asciiTheme="majorBidi" w:hAnsiTheme="majorBidi" w:cstheme="majorBidi"/>
          <w:b/>
          <w:bCs/>
          <w:color w:val="231F20"/>
          <w:sz w:val="32"/>
          <w:szCs w:val="32"/>
        </w:rPr>
        <w:t>prevent abnormal clotting within blood vessels.</w:t>
      </w:r>
    </w:p>
    <w:p w:rsidR="00520966" w:rsidRDefault="00520966" w:rsidP="0052096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  <w:r w:rsidRPr="009233EC">
        <w:rPr>
          <w:rFonts w:ascii="JansonText-Roman" w:cs="JansonText-Roman"/>
          <w:color w:val="231F20"/>
          <w:sz w:val="20"/>
          <w:szCs w:val="20"/>
        </w:rPr>
        <w:t xml:space="preserve"> </w:t>
      </w:r>
      <w:r w:rsidRPr="009233EC">
        <w:rPr>
          <w:rFonts w:asciiTheme="majorBidi" w:hAnsiTheme="majorBidi" w:cstheme="majorBidi"/>
          <w:b/>
          <w:bCs/>
          <w:color w:val="231F20"/>
          <w:sz w:val="32"/>
          <w:szCs w:val="32"/>
        </w:rPr>
        <w:t>There are two majo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r kinds of </w:t>
      </w:r>
      <w:r w:rsidRPr="00846767">
        <w:rPr>
          <w:rFonts w:asciiTheme="majorBidi" w:hAnsiTheme="majorBidi" w:cstheme="majorBidi"/>
          <w:b/>
          <w:bCs/>
          <w:color w:val="231F20"/>
          <w:sz w:val="32"/>
          <w:szCs w:val="32"/>
          <w:highlight w:val="yellow"/>
        </w:rPr>
        <w:t>lymphocytes, T cells and B</w:t>
      </w:r>
      <w:r w:rsidRPr="009233EC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 cells, and a less num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erous third kind called </w:t>
      </w:r>
      <w:r w:rsidRPr="00846767">
        <w:rPr>
          <w:rFonts w:asciiTheme="majorBidi" w:hAnsiTheme="majorBidi" w:cstheme="majorBidi"/>
          <w:b/>
          <w:bCs/>
          <w:color w:val="231F20"/>
          <w:sz w:val="32"/>
          <w:szCs w:val="32"/>
          <w:highlight w:val="yellow"/>
        </w:rPr>
        <w:t>natural killer cells</w:t>
      </w:r>
      <w:r w:rsidRPr="009233EC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. For now we will say that T cells 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(or </w:t>
      </w:r>
      <w:r w:rsidRPr="00846767">
        <w:rPr>
          <w:rFonts w:asciiTheme="majorBidi" w:hAnsiTheme="majorBidi" w:cstheme="majorBidi"/>
          <w:b/>
          <w:bCs/>
          <w:color w:val="231F20"/>
          <w:sz w:val="32"/>
          <w:szCs w:val="32"/>
          <w:u w:val="single"/>
        </w:rPr>
        <w:t>T lymphocytes</w:t>
      </w:r>
      <w:r w:rsidRPr="009233EC">
        <w:rPr>
          <w:rFonts w:asciiTheme="majorBidi" w:hAnsiTheme="majorBidi" w:cstheme="majorBidi"/>
          <w:b/>
          <w:bCs/>
          <w:color w:val="231F20"/>
          <w:sz w:val="32"/>
          <w:szCs w:val="32"/>
        </w:rPr>
        <w:t>) help rec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ognize foreign antigens and may </w:t>
      </w:r>
      <w:r w:rsidRPr="009233EC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directly destroy some foreign antigens. B cells 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(or </w:t>
      </w:r>
      <w:r w:rsidRPr="00846767">
        <w:rPr>
          <w:rFonts w:asciiTheme="majorBidi" w:hAnsiTheme="majorBidi" w:cstheme="majorBidi"/>
          <w:b/>
          <w:bCs/>
          <w:color w:val="231F20"/>
          <w:sz w:val="32"/>
          <w:szCs w:val="32"/>
          <w:u w:val="single"/>
        </w:rPr>
        <w:t>B lymphocytes</w:t>
      </w:r>
      <w:r w:rsidRPr="009233EC">
        <w:rPr>
          <w:rFonts w:asciiTheme="majorBidi" w:hAnsiTheme="majorBidi" w:cstheme="majorBidi"/>
          <w:b/>
          <w:bCs/>
          <w:color w:val="231F20"/>
          <w:sz w:val="32"/>
          <w:szCs w:val="32"/>
        </w:rPr>
        <w:t>) become plasm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a cells that produce antibodies </w:t>
      </w:r>
      <w:r w:rsidRPr="009233EC">
        <w:rPr>
          <w:rFonts w:asciiTheme="majorBidi" w:hAnsiTheme="majorBidi" w:cstheme="majorBidi"/>
          <w:b/>
          <w:bCs/>
          <w:color w:val="231F20"/>
          <w:sz w:val="32"/>
          <w:szCs w:val="32"/>
        </w:rPr>
        <w:t>to foreign ant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igens. Both T cells and B cells </w:t>
      </w:r>
      <w:r w:rsidRPr="009233EC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provide memory for immunity. 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Natural killer cells </w:t>
      </w:r>
      <w:r w:rsidRPr="009233EC">
        <w:rPr>
          <w:rFonts w:asciiTheme="majorBidi" w:hAnsiTheme="majorBidi" w:cstheme="majorBidi"/>
          <w:b/>
          <w:bCs/>
          <w:color w:val="231F20"/>
          <w:sz w:val="32"/>
          <w:szCs w:val="32"/>
        </w:rPr>
        <w:t>(NK cells) destroy foreig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n cells by chemically rupturing </w:t>
      </w:r>
      <w:r w:rsidRPr="009233EC">
        <w:rPr>
          <w:rFonts w:asciiTheme="majorBidi" w:hAnsiTheme="majorBidi" w:cstheme="majorBidi"/>
          <w:b/>
          <w:bCs/>
          <w:color w:val="231F20"/>
          <w:sz w:val="32"/>
          <w:szCs w:val="32"/>
        </w:rPr>
        <w:t>their membranes.</w:t>
      </w:r>
    </w:p>
    <w:p w:rsidR="00520966" w:rsidRDefault="00520966" w:rsidP="0052096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</w:p>
    <w:p w:rsidR="00520966" w:rsidRDefault="00520966" w:rsidP="0052096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</w:p>
    <w:p w:rsidR="00520966" w:rsidRDefault="00520966" w:rsidP="0052096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</w:p>
    <w:p w:rsidR="00520966" w:rsidRDefault="00520966" w:rsidP="00520966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color w:val="231F20"/>
          <w:sz w:val="32"/>
          <w:szCs w:val="32"/>
        </w:rPr>
        <w:lastRenderedPageBreak/>
        <w:drawing>
          <wp:inline distT="0" distB="0" distL="0" distR="0" wp14:anchorId="2358775A" wp14:editId="13E77092">
            <wp:extent cx="4160930" cy="2638425"/>
            <wp:effectExtent l="0" t="0" r="0" b="0"/>
            <wp:docPr id="9218" name="صورة 9218" descr="C:\Users\iki\Desktop\محاظرات الفسلجة\ترجمة التقنيات\1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iki\Desktop\محاظرات الفسلجة\ترجمة التقنيات\12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845" cy="2639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966" w:rsidRDefault="00520966" w:rsidP="0052096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</w:p>
    <w:p w:rsidR="00520966" w:rsidRPr="00846767" w:rsidRDefault="00520966" w:rsidP="0052096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  <w:r w:rsidRPr="00846767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A high WBC count, called </w:t>
      </w:r>
      <w:r w:rsidRPr="00846767">
        <w:rPr>
          <w:rFonts w:asciiTheme="majorBidi" w:hAnsiTheme="majorBidi" w:cstheme="majorBidi"/>
          <w:b/>
          <w:bCs/>
          <w:color w:val="231F20"/>
          <w:sz w:val="32"/>
          <w:szCs w:val="32"/>
          <w:highlight w:val="magenta"/>
        </w:rPr>
        <w:t>leukocytosis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, is often </w:t>
      </w:r>
      <w:r w:rsidRPr="00846767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an indication of infection. </w:t>
      </w:r>
      <w:r w:rsidRPr="00846767">
        <w:rPr>
          <w:rFonts w:asciiTheme="majorBidi" w:hAnsiTheme="majorBidi" w:cstheme="majorBidi"/>
          <w:b/>
          <w:bCs/>
          <w:color w:val="231F20"/>
          <w:sz w:val="32"/>
          <w:szCs w:val="32"/>
          <w:highlight w:val="magenta"/>
        </w:rPr>
        <w:t>Leukopenia</w:t>
      </w:r>
      <w:r w:rsidRPr="00846767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 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is a low WBC </w:t>
      </w:r>
      <w:r w:rsidRPr="00846767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count, which may be present 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in the early stages of diseases </w:t>
      </w:r>
      <w:r w:rsidRPr="00846767">
        <w:rPr>
          <w:rFonts w:asciiTheme="majorBidi" w:hAnsiTheme="majorBidi" w:cstheme="majorBidi"/>
          <w:b/>
          <w:bCs/>
          <w:color w:val="231F20"/>
          <w:sz w:val="32"/>
          <w:szCs w:val="32"/>
        </w:rPr>
        <w:t>such as tuberculos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is. Exposure to radiation or to </w:t>
      </w:r>
      <w:r w:rsidRPr="00846767">
        <w:rPr>
          <w:rFonts w:asciiTheme="majorBidi" w:hAnsiTheme="majorBidi" w:cstheme="majorBidi"/>
          <w:b/>
          <w:bCs/>
          <w:color w:val="231F20"/>
          <w:sz w:val="32"/>
          <w:szCs w:val="32"/>
        </w:rPr>
        <w:t>chemicals such as benzene may destroy WBCs and</w:t>
      </w:r>
    </w:p>
    <w:p w:rsidR="00520966" w:rsidRDefault="00520966" w:rsidP="0052096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  <w:r w:rsidRPr="00846767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lower the total count. Such a 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person is then very susceptible </w:t>
      </w:r>
      <w:r w:rsidRPr="00846767">
        <w:rPr>
          <w:rFonts w:asciiTheme="majorBidi" w:hAnsiTheme="majorBidi" w:cstheme="majorBidi"/>
          <w:b/>
          <w:bCs/>
          <w:color w:val="231F20"/>
          <w:sz w:val="32"/>
          <w:szCs w:val="32"/>
        </w:rPr>
        <w:t>to infection. Leukemia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, or malignancy of </w:t>
      </w:r>
      <w:r w:rsidRPr="00846767">
        <w:rPr>
          <w:rFonts w:asciiTheme="majorBidi" w:hAnsiTheme="majorBidi" w:cstheme="majorBidi"/>
          <w:b/>
          <w:bCs/>
          <w:color w:val="231F20"/>
          <w:sz w:val="32"/>
          <w:szCs w:val="32"/>
        </w:rPr>
        <w:t>leukocyte-forming tissues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>.</w:t>
      </w:r>
    </w:p>
    <w:p w:rsidR="00520966" w:rsidRDefault="00520966" w:rsidP="0052096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</w:p>
    <w:p w:rsidR="00520966" w:rsidRDefault="00520966" w:rsidP="00520966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color w:val="231F20"/>
          <w:sz w:val="32"/>
          <w:szCs w:val="32"/>
        </w:rPr>
        <w:drawing>
          <wp:inline distT="0" distB="0" distL="0" distR="0" wp14:anchorId="30D63F59" wp14:editId="2648F68D">
            <wp:extent cx="2657475" cy="1752600"/>
            <wp:effectExtent l="0" t="0" r="9525" b="0"/>
            <wp:docPr id="17" name="صورة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966" w:rsidRPr="00F13730" w:rsidRDefault="00520966" w:rsidP="00520966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  <w:r w:rsidRPr="00F13730">
        <w:rPr>
          <w:rFonts w:ascii="StoneSans-Bold" w:cs="StoneSans-Bold"/>
          <w:b/>
          <w:bCs/>
          <w:color w:val="231F20"/>
          <w:sz w:val="32"/>
          <w:szCs w:val="32"/>
        </w:rPr>
        <w:t xml:space="preserve">(Figure)  </w:t>
      </w:r>
      <w:r w:rsidRPr="00F13730">
        <w:rPr>
          <w:rFonts w:ascii="StoneSans" w:cs="StoneSans"/>
          <w:b/>
          <w:bCs/>
          <w:color w:val="231F20"/>
          <w:sz w:val="32"/>
          <w:szCs w:val="32"/>
        </w:rPr>
        <w:t>Leukemia.</w:t>
      </w:r>
    </w:p>
    <w:p w:rsidR="00520966" w:rsidRPr="00D818BE" w:rsidRDefault="00520966" w:rsidP="0052096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</w:p>
    <w:p w:rsidR="00520966" w:rsidRPr="00D818BE" w:rsidRDefault="00520966" w:rsidP="0052096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231F20"/>
          <w:sz w:val="40"/>
          <w:szCs w:val="40"/>
        </w:rPr>
      </w:pPr>
      <w:r w:rsidRPr="00D818BE">
        <w:rPr>
          <w:rFonts w:asciiTheme="majorBidi" w:hAnsiTheme="majorBidi" w:cstheme="majorBidi"/>
          <w:b/>
          <w:bCs/>
          <w:color w:val="231F20"/>
          <w:sz w:val="40"/>
          <w:szCs w:val="40"/>
          <w:highlight w:val="magenta"/>
        </w:rPr>
        <w:t>Normal range</w:t>
      </w:r>
    </w:p>
    <w:p w:rsidR="00520966" w:rsidRPr="00D818BE" w:rsidRDefault="00520966" w:rsidP="0052096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  <w:r w:rsidRPr="00D818BE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Basophils             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 </w:t>
      </w:r>
      <w:r w:rsidRPr="00D818BE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   0.5-1%</w:t>
      </w:r>
    </w:p>
    <w:p w:rsidR="00520966" w:rsidRDefault="00520966" w:rsidP="0052096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  <w:proofErr w:type="spellStart"/>
      <w:r w:rsidRPr="00D818BE">
        <w:rPr>
          <w:rFonts w:asciiTheme="majorBidi" w:hAnsiTheme="majorBidi" w:cstheme="majorBidi"/>
          <w:b/>
          <w:bCs/>
          <w:color w:val="231F20"/>
          <w:sz w:val="32"/>
          <w:szCs w:val="32"/>
        </w:rPr>
        <w:t>Eosinophils</w:t>
      </w:r>
      <w:proofErr w:type="spellEnd"/>
      <w:r w:rsidRPr="00D818BE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          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  </w:t>
      </w:r>
      <w:r w:rsidRPr="00D818BE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  1-3%</w:t>
      </w:r>
    </w:p>
    <w:p w:rsidR="00520966" w:rsidRPr="00D818BE" w:rsidRDefault="00520966" w:rsidP="0052096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  <w:r w:rsidRPr="00D818BE">
        <w:rPr>
          <w:rFonts w:asciiTheme="majorBidi" w:hAnsiTheme="majorBidi" w:cstheme="majorBidi"/>
          <w:b/>
          <w:bCs/>
          <w:color w:val="231F20"/>
          <w:sz w:val="32"/>
          <w:szCs w:val="32"/>
        </w:rPr>
        <w:t>Monocytes               3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 </w:t>
      </w:r>
      <w:r w:rsidRPr="00D818BE">
        <w:rPr>
          <w:rFonts w:asciiTheme="majorBidi" w:hAnsiTheme="majorBidi" w:cstheme="majorBidi"/>
          <w:b/>
          <w:bCs/>
          <w:color w:val="231F20"/>
          <w:sz w:val="32"/>
          <w:szCs w:val="32"/>
        </w:rPr>
        <w:t>-8%</w:t>
      </w:r>
    </w:p>
    <w:p w:rsidR="00520966" w:rsidRPr="00D818BE" w:rsidRDefault="00520966" w:rsidP="0052096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  <w:r w:rsidRPr="00D818BE">
        <w:rPr>
          <w:rFonts w:asciiTheme="majorBidi" w:hAnsiTheme="majorBidi" w:cstheme="majorBidi"/>
          <w:b/>
          <w:bCs/>
          <w:color w:val="231F20"/>
          <w:sz w:val="32"/>
          <w:szCs w:val="32"/>
        </w:rPr>
        <w:t>Lymphocytes          20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 </w:t>
      </w:r>
      <w:r w:rsidRPr="00D818BE">
        <w:rPr>
          <w:rFonts w:asciiTheme="majorBidi" w:hAnsiTheme="majorBidi" w:cstheme="majorBidi"/>
          <w:b/>
          <w:bCs/>
          <w:color w:val="231F20"/>
          <w:sz w:val="32"/>
          <w:szCs w:val="32"/>
        </w:rPr>
        <w:t>-35%</w:t>
      </w:r>
    </w:p>
    <w:p w:rsidR="00520966" w:rsidRPr="00D818BE" w:rsidRDefault="00520966" w:rsidP="0052096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  <w:r w:rsidRPr="00D818BE">
        <w:rPr>
          <w:rFonts w:asciiTheme="majorBidi" w:hAnsiTheme="majorBidi" w:cstheme="majorBidi"/>
          <w:b/>
          <w:bCs/>
          <w:color w:val="231F20"/>
          <w:sz w:val="32"/>
          <w:szCs w:val="32"/>
        </w:rPr>
        <w:t>Neutrophils             55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 </w:t>
      </w:r>
      <w:r w:rsidRPr="00D818BE">
        <w:rPr>
          <w:rFonts w:asciiTheme="majorBidi" w:hAnsiTheme="majorBidi" w:cstheme="majorBidi"/>
          <w:b/>
          <w:bCs/>
          <w:color w:val="231F20"/>
          <w:sz w:val="32"/>
          <w:szCs w:val="32"/>
        </w:rPr>
        <w:t>-70%</w:t>
      </w:r>
    </w:p>
    <w:p w:rsidR="00520966" w:rsidRDefault="00520966" w:rsidP="0052096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cs="JansonText-Roman"/>
          <w:b/>
          <w:bCs/>
          <w:color w:val="231F20"/>
          <w:sz w:val="32"/>
          <w:szCs w:val="32"/>
        </w:rPr>
      </w:pPr>
    </w:p>
    <w:p w:rsidR="00520966" w:rsidRDefault="00520966" w:rsidP="00520966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cs="JansonText-Roman"/>
          <w:b/>
          <w:bCs/>
          <w:color w:val="231F20"/>
          <w:sz w:val="32"/>
          <w:szCs w:val="32"/>
        </w:rPr>
      </w:pPr>
    </w:p>
    <w:p w:rsidR="002D4642" w:rsidRDefault="002D4642">
      <w:pPr>
        <w:rPr>
          <w:rFonts w:hint="cs"/>
          <w:lang w:bidi="ar-IQ"/>
        </w:rPr>
      </w:pPr>
    </w:p>
    <w:sectPr w:rsidR="002D4642" w:rsidSect="00BD3A9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ansonText-Roma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JansonText-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StoneSans-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StoneSans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966"/>
    <w:rsid w:val="002D4642"/>
    <w:rsid w:val="00520966"/>
    <w:rsid w:val="00BD3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96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20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209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96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20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209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372</Words>
  <Characters>2126</Characters>
  <Application>Microsoft Office Word</Application>
  <DocSecurity>0</DocSecurity>
  <Lines>17</Lines>
  <Paragraphs>4</Paragraphs>
  <ScaleCrop>false</ScaleCrop>
  <Company>SACC - ANAS</Company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Nursing</dc:creator>
  <cp:lastModifiedBy>Nursing</cp:lastModifiedBy>
  <cp:revision>1</cp:revision>
  <dcterms:created xsi:type="dcterms:W3CDTF">2016-03-16T07:06:00Z</dcterms:created>
  <dcterms:modified xsi:type="dcterms:W3CDTF">2016-03-16T07:06:00Z</dcterms:modified>
</cp:coreProperties>
</file>