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3B" w:rsidRPr="0018023B" w:rsidRDefault="0018023B" w:rsidP="0018023B">
      <w:pPr>
        <w:jc w:val="center"/>
        <w:rPr>
          <w:rFonts w:asciiTheme="majorBidi" w:hAnsiTheme="majorBidi" w:cstheme="majorBidi" w:hint="cs"/>
          <w:b/>
          <w:bCs/>
          <w:caps/>
          <w:sz w:val="28"/>
          <w:szCs w:val="28"/>
          <w:highlight w:val="green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023B">
        <w:rPr>
          <w:rFonts w:asciiTheme="majorBidi" w:hAnsiTheme="majorBidi" w:cstheme="majorBidi"/>
          <w:b/>
          <w:bCs/>
          <w:caps/>
          <w:sz w:val="28"/>
          <w:szCs w:val="28"/>
          <w:highlight w:val="gree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Packed Cell Volume(PCV) OR</w:t>
      </w:r>
    </w:p>
    <w:p w:rsidR="0018023B" w:rsidRPr="0018023B" w:rsidRDefault="0018023B" w:rsidP="0018023B">
      <w:pPr>
        <w:jc w:val="center"/>
        <w:rPr>
          <w:rFonts w:asciiTheme="majorBidi" w:hAnsiTheme="majorBidi" w:cstheme="majorBidi"/>
          <w:b/>
          <w:bCs/>
          <w:caps/>
          <w:sz w:val="28"/>
          <w:szCs w:val="2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023B">
        <w:rPr>
          <w:rFonts w:asciiTheme="majorBidi" w:hAnsiTheme="majorBidi" w:cstheme="majorBidi"/>
          <w:b/>
          <w:bCs/>
          <w:caps/>
          <w:sz w:val="28"/>
          <w:szCs w:val="28"/>
          <w:highlight w:val="gree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Hematocrit (HCT) Value</w:t>
      </w:r>
    </w:p>
    <w:p w:rsidR="0018023B" w:rsidRPr="0018023B" w:rsidRDefault="0018023B" w:rsidP="0018023B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18023B" w:rsidRPr="0018023B" w:rsidRDefault="0018023B" w:rsidP="00235F8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highlight w:val="green"/>
          <w:lang w:bidi="ar-IQ"/>
        </w:rPr>
        <w:t>P.C.V.</w:t>
      </w: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:- Is the volume of red blood cells in a 100 ml of whole blood , 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P.C.V. Is also used in conjugation with the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Hb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concentration to calculate the mean corpuscular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Hb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concentration  when a tube of blood  is centrifuged, the erythrocytes pack into the bottom part of the tube with the plasma on top. The white cells and platelets are found in a thin area, (the Buffy layer), above the column of red cells.</w:t>
      </w:r>
    </w:p>
    <w:p w:rsidR="0018023B" w:rsidRPr="0018023B" w:rsidRDefault="0018023B" w:rsidP="0018023B">
      <w:pPr>
        <w:jc w:val="center"/>
        <w:rPr>
          <w:rFonts w:asciiTheme="majorBidi" w:hAnsiTheme="majorBidi" w:cstheme="majorBidi" w:hint="cs"/>
          <w:b/>
          <w:bCs/>
          <w:caps/>
          <w:sz w:val="28"/>
          <w:szCs w:val="2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023B">
        <w:rPr>
          <w:rFonts w:asciiTheme="majorBidi" w:hAnsiTheme="majorBidi" w:cstheme="majorBidi"/>
          <w:b/>
          <w:bCs/>
          <w:i/>
          <w:iCs/>
          <w:caps/>
          <w:sz w:val="28"/>
          <w:szCs w:val="28"/>
          <w:highlight w:val="yellow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Introduction and principle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Whole blood is centrifuged for maximum red blood cell packing. The space occupied by the red blood cells is measured and expressed as a percentage of the whole blood volume.</w:t>
      </w:r>
    </w:p>
    <w:p w:rsidR="0018023B" w:rsidRPr="0018023B" w:rsidRDefault="0018023B" w:rsidP="0018023B">
      <w:pPr>
        <w:jc w:val="center"/>
        <w:rPr>
          <w:rFonts w:asciiTheme="majorBidi" w:hAnsiTheme="majorBidi" w:cstheme="majorBidi" w:hint="cs"/>
          <w:b/>
          <w:bCs/>
          <w:caps/>
          <w:sz w:val="28"/>
          <w:szCs w:val="2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023B">
        <w:rPr>
          <w:rFonts w:asciiTheme="majorBidi" w:hAnsiTheme="majorBidi" w:cstheme="majorBidi"/>
          <w:b/>
          <w:bCs/>
          <w:caps/>
          <w:sz w:val="28"/>
          <w:szCs w:val="28"/>
          <w:highlight w:val="yellow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Factor affectes P.C.V</w:t>
      </w:r>
      <w:r w:rsidRPr="0018023B">
        <w:rPr>
          <w:rFonts w:asciiTheme="majorBidi" w:hAnsiTheme="majorBidi" w:cstheme="majorBidi"/>
          <w:b/>
          <w:bCs/>
          <w:caps/>
          <w:sz w:val="28"/>
          <w:szCs w:val="28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18023B" w:rsidRPr="0018023B" w:rsidRDefault="0018023B" w:rsidP="0018023B">
      <w:pPr>
        <w:jc w:val="right"/>
        <w:rPr>
          <w:rFonts w:asciiTheme="majorBidi" w:hAnsiTheme="majorBidi" w:cstheme="majorBidi" w:hint="cs"/>
          <w:sz w:val="28"/>
          <w:szCs w:val="28"/>
          <w:highlight w:val="magenta"/>
          <w:rtl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8023B">
        <w:rPr>
          <w:rFonts w:asciiTheme="majorBidi" w:hAnsiTheme="majorBidi" w:cstheme="majorBidi"/>
          <w:caps/>
          <w:sz w:val="28"/>
          <w:szCs w:val="28"/>
          <w:highlight w:val="magenta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  <w:r w:rsidRPr="0018023B">
        <w:rPr>
          <w:rFonts w:asciiTheme="majorBidi" w:hAnsiTheme="majorBidi" w:cstheme="majorBidi"/>
          <w:sz w:val="28"/>
          <w:szCs w:val="28"/>
          <w:highlight w:val="magenta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- </w:t>
      </w:r>
      <w:proofErr w:type="spellStart"/>
      <w:r w:rsidRPr="0018023B">
        <w:rPr>
          <w:rFonts w:asciiTheme="majorBidi" w:hAnsiTheme="majorBidi" w:cstheme="majorBidi"/>
          <w:sz w:val="28"/>
          <w:szCs w:val="28"/>
          <w:highlight w:val="magenta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haemorrhage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 xml:space="preserve">immediately following an acute hemorrhage, the P.C.V and RBC  count may be normal ,but during the recovery phase, the blood volume will increase the (plasma volume) ,so both </w:t>
      </w:r>
      <w:proofErr w:type="spellStart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p.c.v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. and </w:t>
      </w:r>
      <w:proofErr w:type="spellStart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r.b.c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. count will be reduced.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sz w:val="28"/>
          <w:szCs w:val="28"/>
          <w:rtl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8023B">
        <w:rPr>
          <w:rFonts w:asciiTheme="majorBidi" w:hAnsiTheme="majorBidi" w:cstheme="majorBidi"/>
          <w:sz w:val="28"/>
          <w:szCs w:val="28"/>
          <w:highlight w:val="magenta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2-dehydration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>will produce increase in P.C.V. and R.B.C. count.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</w:r>
      <w:proofErr w:type="spellStart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p.c.v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. increased in polycythemia ,either physiological; </w:t>
      </w:r>
      <w:proofErr w:type="spellStart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exhigh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attitude or pathological.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</w:r>
      <w:proofErr w:type="spellStart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p.c.v</w:t>
      </w:r>
      <w:proofErr w:type="spellEnd"/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. decreased in :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>a-acute anemia 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>b- some liver and spleen disease.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>c- kidney disease.</w:t>
      </w:r>
      <w:r w:rsidRPr="0018023B">
        <w:rPr>
          <w:rFonts w:asciiTheme="majorBidi" w:hAnsiTheme="majorBidi" w:cstheme="majorBidi"/>
          <w:sz w:val="28"/>
          <w:szCs w:val="28"/>
          <w:lang w:bidi="ar-IQ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/>
        <w:t>d- extra vascular fluid as in, congestive heart failure.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sz w:val="28"/>
          <w:szCs w:val="28"/>
          <w:lang w:bidi="ar-IQ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8023B">
        <w:rPr>
          <w:rFonts w:asciiTheme="majorBidi" w:hAnsiTheme="majorBidi" w:cstheme="majorBidi"/>
          <w:sz w:val="28"/>
          <w:szCs w:val="28"/>
          <w:highlight w:val="magenta"/>
          <w:lang w:bidi="ar-IQ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Normal value</w:t>
      </w:r>
    </w:p>
    <w:p w:rsidR="0018023B" w:rsidRPr="0018023B" w:rsidRDefault="0018023B" w:rsidP="0018023B">
      <w:pPr>
        <w:numPr>
          <w:ilvl w:val="0"/>
          <w:numId w:val="1"/>
        </w:num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</w:rPr>
        <w:t xml:space="preserve">In adult men /  44-54%      </w:t>
      </w:r>
    </w:p>
    <w:p w:rsidR="0018023B" w:rsidRPr="0018023B" w:rsidRDefault="0018023B" w:rsidP="0018023B">
      <w:pPr>
        <w:numPr>
          <w:ilvl w:val="0"/>
          <w:numId w:val="1"/>
        </w:num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In adult women / 38- 48 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                                              </w:t>
      </w:r>
      <w:r w:rsidRPr="0018023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br/>
        <w:t xml:space="preserve">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highlight w:val="magenta"/>
          <w:lang w:bidi="ar-IQ"/>
        </w:rPr>
        <w:t>Microhaematocrit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highlight w:val="magenta"/>
          <w:lang w:bidi="ar-IQ"/>
        </w:rPr>
        <w:t xml:space="preserve"> Method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</w:rPr>
        <w:t>Material and Instruments</w:t>
      </w:r>
      <w:r w:rsidRPr="0018023B">
        <w:rPr>
          <w:rFonts w:asciiTheme="majorBidi" w:hAnsiTheme="majorBidi" w:cstheme="majorBidi"/>
          <w:b/>
          <w:bCs/>
          <w:sz w:val="28"/>
          <w:szCs w:val="28"/>
        </w:rPr>
        <w:br/>
        <w:t xml:space="preserve">1-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</w:rPr>
        <w:t>Microhaematocrit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</w:rPr>
        <w:t xml:space="preserve"> tube 75 mm in length and 1mm in diameter which contain heparin and show a red ring at the end of the tube.</w:t>
      </w:r>
      <w:r w:rsidRPr="0018023B">
        <w:rPr>
          <w:rFonts w:asciiTheme="majorBidi" w:hAnsiTheme="majorBidi" w:cstheme="majorBidi"/>
          <w:b/>
          <w:bCs/>
          <w:sz w:val="28"/>
          <w:szCs w:val="28"/>
        </w:rPr>
        <w:br/>
        <w:t xml:space="preserve">2-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</w:rPr>
        <w:t>Microhaematocrit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</w:rPr>
        <w:t xml:space="preserve">   centrifuge capable of producing a relative centrifugal force of 10000 to I5OOOg.</w:t>
      </w:r>
      <w:r w:rsidRPr="0018023B">
        <w:rPr>
          <w:rFonts w:asciiTheme="majorBidi" w:hAnsiTheme="majorBidi" w:cstheme="majorBidi"/>
          <w:b/>
          <w:bCs/>
          <w:sz w:val="28"/>
          <w:szCs w:val="28"/>
        </w:rPr>
        <w:br/>
        <w:t xml:space="preserve">3- Plastic seal or Bunsen burner flame to seal one end of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</w:rPr>
        <w:t>microhaematocrit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</w:rPr>
        <w:t xml:space="preserve"> tube.</w:t>
      </w:r>
      <w:r w:rsidRPr="0018023B">
        <w:rPr>
          <w:rFonts w:asciiTheme="majorBidi" w:hAnsiTheme="majorBidi" w:cstheme="majorBidi"/>
          <w:b/>
          <w:bCs/>
          <w:sz w:val="28"/>
          <w:szCs w:val="28"/>
        </w:rPr>
        <w:br/>
        <w:t>4-microhaematocritrit reader</w:t>
      </w:r>
      <w:r w:rsidRPr="0018023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18023B">
        <w:rPr>
          <w:rFonts w:asciiTheme="majorBidi" w:hAnsiTheme="majorBidi" w:cstheme="majorBidi"/>
          <w:b/>
          <w:bCs/>
          <w:sz w:val="28"/>
          <w:szCs w:val="28"/>
        </w:rPr>
        <w:t>(Fig. 1).</w:t>
      </w:r>
    </w:p>
    <w:p w:rsidR="0018023B" w:rsidRPr="0018023B" w:rsidRDefault="0018023B" w:rsidP="0018023B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441A08F1" wp14:editId="35D5D221">
            <wp:extent cx="4514850" cy="1714500"/>
            <wp:effectExtent l="0" t="0" r="0" b="0"/>
            <wp:docPr id="92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8023B" w:rsidRPr="0018023B" w:rsidRDefault="0018023B" w:rsidP="0018023B">
      <w:pPr>
        <w:jc w:val="right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18023B" w:rsidRPr="0018023B" w:rsidRDefault="0018023B" w:rsidP="0018023B">
      <w:pPr>
        <w:jc w:val="center"/>
        <w:rPr>
          <w:rFonts w:asciiTheme="majorBidi" w:hAnsiTheme="majorBidi" w:cstheme="majorBidi" w:hint="cs"/>
          <w:b/>
          <w:bCs/>
          <w:caps/>
          <w:sz w:val="28"/>
          <w:szCs w:val="2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023B">
        <w:rPr>
          <w:rFonts w:asciiTheme="majorBidi" w:hAnsiTheme="majorBidi" w:cstheme="majorBidi"/>
          <w:b/>
          <w:bCs/>
          <w:caps/>
          <w:sz w:val="28"/>
          <w:szCs w:val="28"/>
          <w:highlight w:val="magenta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Procedure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1-'Blood is drawn into the tubes by capillary phenomenon. By holding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theTubes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in horizontal manner and allow 2/3 to 3/4 to be filled with blood .Air bubbles denote poor technique but   do not affect the results of the test.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2- Seal the dry end of the tube by plastic seal or by heating the dry end of the tube rapidly on a fine flame of Bunsen burner combined with rotation.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3- The sealed tube is then placed in the radial grooves of the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Microhae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-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centrifuge with the sealed end away from the center of the centrifuge and centrifuge for 5 minutes.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4- When looking at a centrifuged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tube, you can see three distinct layers. A top layer of clear slightly milky plasma, a thin buffy coat layer (consisting of WBC and platelets), and a dark packed RBC layer ( show Fig. 1 in appendix). </w:t>
      </w:r>
    </w:p>
    <w:p w:rsidR="0018023B" w:rsidRPr="0018023B" w:rsidRDefault="0018023B" w:rsidP="0018023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5- Obtain the results using the </w:t>
      </w:r>
      <w:proofErr w:type="spellStart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>microhaematocrit</w:t>
      </w:r>
      <w:proofErr w:type="spellEnd"/>
      <w:r w:rsidRPr="0018023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tube reading device. Adjust the movable line to touch the top of the RBC's in the tube .(show Fig 3 in appendix).</w:t>
      </w:r>
    </w:p>
    <w:p w:rsidR="000D7DFF" w:rsidRDefault="000D7DFF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Default="00E318A1" w:rsidP="00E318A1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 w:rsidRPr="00255D26">
        <w:rPr>
          <w:rFonts w:asciiTheme="majorBidi" w:hAnsiTheme="majorBidi" w:cstheme="majorBidi"/>
          <w:b/>
          <w:bCs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Anemia is a deficiency of red blood cells, or insufficient hemoglobin within the red blood cells. </w:t>
      </w:r>
    </w:p>
    <w:p w:rsidR="00E318A1" w:rsidRPr="00E71AB9" w:rsidRDefault="00E318A1" w:rsidP="00E318A1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 w:rsidRPr="005E4540">
        <w:rPr>
          <w:rFonts w:asciiTheme="majorBidi" w:hAnsiTheme="majorBidi" w:cstheme="majorBidi"/>
          <w:b/>
          <w:bCs/>
          <w:sz w:val="32"/>
          <w:szCs w:val="32"/>
          <w:highlight w:val="magenta"/>
        </w:rPr>
        <w:t>(There are many different types of anemia)</w:t>
      </w:r>
    </w:p>
    <w:p w:rsidR="00E318A1" w:rsidRPr="008C4F74" w:rsidRDefault="00E318A1" w:rsidP="00E318A1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  <w:r w:rsidRPr="00EA3E20">
        <w:rPr>
          <w:rFonts w:asciiTheme="majorBidi" w:hAnsiTheme="majorBidi" w:cstheme="majorBidi"/>
          <w:b/>
          <w:bCs/>
          <w:caps/>
          <w:color w:val="231F2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Iron-deficiency anemia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is ca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used by a lack of dietary iron ,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and there is not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enough of this mineral to form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sufficient hemoglobin. A person with this type of anemia may have a normal RBC count and a normal hematocrit, but the hemoglobin level will be below normal.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drawing>
          <wp:inline distT="0" distB="0" distL="0" distR="0" wp14:anchorId="0AB8A5D1" wp14:editId="68BDECF5">
            <wp:extent cx="2705100" cy="2432743"/>
            <wp:effectExtent l="0" t="0" r="0" b="571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3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 deficiency of vitamin B12, which is found only in animal foods, leads to </w:t>
      </w:r>
      <w:r w:rsidRPr="00780DBF">
        <w:rPr>
          <w:rFonts w:asciiTheme="majorBidi" w:hAnsiTheme="majorBidi" w:cstheme="majorBidi"/>
          <w:b/>
          <w:bCs/>
          <w:caps/>
          <w:color w:val="231F2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pernicious anemia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, in which the RBCs are large, misshapen, and fragile. Another cause of this form of anemia is lack of the intrinsic factor due to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autoimmune destruction of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the parietal cells of the stomach lining.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BE18C8"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lastRenderedPageBreak/>
        <w:drawing>
          <wp:inline distT="0" distB="0" distL="0" distR="0" wp14:anchorId="59386F62" wp14:editId="6515F085">
            <wp:extent cx="2876550" cy="2305050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  <w:r w:rsidRPr="00EA3E20">
        <w:rPr>
          <w:rFonts w:asciiTheme="majorBidi" w:hAnsiTheme="majorBidi" w:cstheme="majorBidi"/>
          <w:b/>
          <w:bCs/>
          <w:caps/>
          <w:color w:val="231F2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Sickle-cell anemia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It is a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genetic disorder of hemoglobin,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which causes RBCs to sickle, clog capillaries, and rupture.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b/>
          <w:bCs/>
          <w:color w:val="FFFFFF"/>
          <w:sz w:val="32"/>
          <w:szCs w:val="32"/>
        </w:rPr>
      </w:pPr>
      <w:r w:rsidRPr="00BE18C8">
        <w:rPr>
          <w:rFonts w:ascii="Helvetica" w:hAnsi="Helvetica" w:cs="Helvetica"/>
          <w:b/>
          <w:bCs/>
          <w:color w:val="FFFFFF"/>
          <w:sz w:val="32"/>
          <w:szCs w:val="32"/>
        </w:rPr>
        <w:t>B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BE18C8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15B90A11" wp14:editId="76C3E94B">
            <wp:extent cx="2457450" cy="175260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  <w:r w:rsidRPr="00EA3E20">
        <w:rPr>
          <w:rFonts w:asciiTheme="majorBidi" w:hAnsiTheme="majorBidi" w:cstheme="majorBidi"/>
          <w:b/>
          <w:bCs/>
          <w:caps/>
          <w:color w:val="231F20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Aplastic anemia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is suppression of the red bone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marrow, with decr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eased production of RBCs, WBCs,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and platelets. This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is a very serious disorder that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may be caused by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exposure to radiation, certain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chemicals such 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s benzene, or some medications .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There are several ant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ibiotics that must be used with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caution since they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may have this potentially fatal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side effect.</w:t>
      </w:r>
    </w:p>
    <w:p w:rsidR="00E318A1" w:rsidRPr="00BE18C8" w:rsidRDefault="00E318A1" w:rsidP="00E318A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lastRenderedPageBreak/>
        <w:drawing>
          <wp:inline distT="0" distB="0" distL="0" distR="0" wp14:anchorId="54D9C826" wp14:editId="41E034D8">
            <wp:extent cx="2781300" cy="211455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E318A1" w:rsidRPr="007F54EE" w:rsidRDefault="00E318A1" w:rsidP="00E318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-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Hemolytic ane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mia is any disorder that causes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rupture of RBCs befo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re the end of their normal life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span. Sickle-cell anemi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 and Rh disease of the newborn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are examples.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Another example is malaria, in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which a protozoan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parasite reproduces in RBCs and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destroys them. Hemolytic </w:t>
      </w:r>
      <w:proofErr w:type="spellStart"/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anemias</w:t>
      </w:r>
      <w:proofErr w:type="spellEnd"/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are often characterized </w:t>
      </w:r>
      <w:r w:rsidRPr="00BE18C8">
        <w:rPr>
          <w:rFonts w:asciiTheme="majorBidi" w:hAnsiTheme="majorBidi" w:cstheme="majorBidi"/>
          <w:b/>
          <w:bCs/>
          <w:color w:val="231F20"/>
          <w:sz w:val="32"/>
          <w:szCs w:val="32"/>
        </w:rPr>
        <w:t>by jaundice beca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use of the increased production of bilirubin .</w:t>
      </w:r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</w:p>
    <w:p w:rsidR="00E318A1" w:rsidRDefault="00E318A1">
      <w:pPr>
        <w:rPr>
          <w:rFonts w:hint="cs"/>
          <w:sz w:val="28"/>
          <w:szCs w:val="28"/>
          <w:rtl/>
          <w:lang w:bidi="ar-IQ"/>
        </w:rPr>
      </w:pPr>
    </w:p>
    <w:p w:rsidR="00E318A1" w:rsidRPr="0018023B" w:rsidRDefault="00E318A1">
      <w:pPr>
        <w:rPr>
          <w:rFonts w:hint="cs"/>
          <w:sz w:val="28"/>
          <w:szCs w:val="28"/>
          <w:lang w:bidi="ar-IQ"/>
        </w:rPr>
      </w:pPr>
    </w:p>
    <w:sectPr w:rsidR="00E318A1" w:rsidRPr="0018023B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9pt;height:16.2pt" o:bullet="t">
        <v:imagedata r:id="rId1" o:title="artC3F"/>
      </v:shape>
    </w:pict>
  </w:numPicBullet>
  <w:abstractNum w:abstractNumId="0">
    <w:nsid w:val="523C0067"/>
    <w:multiLevelType w:val="hybridMultilevel"/>
    <w:tmpl w:val="4C64EA06"/>
    <w:lvl w:ilvl="0" w:tplc="AE4C10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528A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AEFB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6ED4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C34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4292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AC08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7A60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8EF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3B"/>
    <w:rsid w:val="000D7DFF"/>
    <w:rsid w:val="00125894"/>
    <w:rsid w:val="0018023B"/>
    <w:rsid w:val="00235F84"/>
    <w:rsid w:val="00BD3A91"/>
    <w:rsid w:val="00E3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0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0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3</cp:revision>
  <cp:lastPrinted>2016-03-15T08:23:00Z</cp:lastPrinted>
  <dcterms:created xsi:type="dcterms:W3CDTF">2016-03-16T06:50:00Z</dcterms:created>
  <dcterms:modified xsi:type="dcterms:W3CDTF">2016-03-16T06:54:00Z</dcterms:modified>
</cp:coreProperties>
</file>