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ABE" w:rsidRPr="00137EEA" w:rsidRDefault="001F0ABE" w:rsidP="00076820">
      <w:pPr>
        <w:autoSpaceDE w:val="0"/>
        <w:autoSpaceDN w:val="0"/>
        <w:adjustRightInd w:val="0"/>
        <w:rPr>
          <w:rFonts w:asciiTheme="majorHAnsi" w:hAnsiTheme="majorHAnsi" w:cs="MyriadPro-Bold"/>
          <w:b/>
          <w:bCs/>
          <w:i/>
          <w:iCs/>
          <w:sz w:val="22"/>
          <w:szCs w:val="22"/>
        </w:rPr>
      </w:pPr>
      <w:r w:rsidRPr="00137EEA">
        <w:rPr>
          <w:rFonts w:asciiTheme="majorHAnsi" w:hAnsiTheme="majorHAnsi" w:cs="MyriadPro-Bold"/>
          <w:b/>
          <w:bCs/>
          <w:i/>
          <w:iCs/>
          <w:noProof/>
          <w:sz w:val="22"/>
          <w:szCs w:val="22"/>
        </w:rPr>
        <mc:AlternateContent>
          <mc:Choice Requires="wps">
            <w:drawing>
              <wp:anchor distT="0" distB="0" distL="114300" distR="114300" simplePos="0" relativeHeight="251660288" behindDoc="0" locked="0" layoutInCell="1" allowOverlap="1" wp14:anchorId="03A1C672" wp14:editId="7046C3A0">
                <wp:simplePos x="0" y="0"/>
                <wp:positionH relativeFrom="column">
                  <wp:posOffset>22750</wp:posOffset>
                </wp:positionH>
                <wp:positionV relativeFrom="paragraph">
                  <wp:posOffset>-61291</wp:posOffset>
                </wp:positionV>
                <wp:extent cx="6058535" cy="572135"/>
                <wp:effectExtent l="57150" t="38100" r="75565" b="94615"/>
                <wp:wrapNone/>
                <wp:docPr id="15" name="Curved Down Ribbon 15"/>
                <wp:cNvGraphicFramePr/>
                <a:graphic xmlns:a="http://schemas.openxmlformats.org/drawingml/2006/main">
                  <a:graphicData uri="http://schemas.microsoft.com/office/word/2010/wordprocessingShape">
                    <wps:wsp>
                      <wps:cNvSpPr/>
                      <wps:spPr>
                        <a:xfrm>
                          <a:off x="0" y="0"/>
                          <a:ext cx="6058535" cy="572135"/>
                        </a:xfrm>
                        <a:prstGeom prst="ellipseRibbon">
                          <a:avLst>
                            <a:gd name="adj1" fmla="val 18051"/>
                            <a:gd name="adj2" fmla="val 69686"/>
                            <a:gd name="adj3" fmla="val 0"/>
                          </a:avLst>
                        </a:prstGeom>
                        <a:solidFill>
                          <a:schemeClr val="bg1">
                            <a:lumMod val="85000"/>
                          </a:schemeClr>
                        </a:solidFill>
                        <a:ln/>
                      </wps:spPr>
                      <wps:style>
                        <a:lnRef idx="1">
                          <a:schemeClr val="accent1"/>
                        </a:lnRef>
                        <a:fillRef idx="2">
                          <a:schemeClr val="accent1"/>
                        </a:fillRef>
                        <a:effectRef idx="1">
                          <a:schemeClr val="accent1"/>
                        </a:effectRef>
                        <a:fontRef idx="minor">
                          <a:schemeClr val="dk1"/>
                        </a:fontRef>
                      </wps:style>
                      <wps:txbx>
                        <w:txbxContent>
                          <w:p w:rsidR="00B414EE" w:rsidRPr="002F1D0C" w:rsidRDefault="00181053" w:rsidP="001F0ABE">
                            <w:pPr>
                              <w:jc w:val="center"/>
                              <w:rPr>
                                <w:b/>
                                <w:bCs/>
                                <w:caps/>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b/>
                                <w:bCs/>
                                <w:caps/>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Hypersensitivity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15" o:spid="_x0000_s1026" type="#_x0000_t107" style="position:absolute;left:0;text-align:left;margin-left:1.8pt;margin-top:-4.85pt;width:477.05pt;height:45.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" adj="3274,3899,21600" fillcolor="#d8d8d8 [2732]" strokecolor="#4579b8 [3044]">
                <v:shadow on="t" color="black" opacity="24903f" origin=",.5" offset="0,.55556mm"/>
                <v:textbox>
                  <w:txbxContent>
                    <w:p w:rsidR="00B414EE" w:rsidRPr="002F1D0C" w:rsidRDefault="00181053" w:rsidP="001F0ABE">
                      <w:pPr>
                        <w:jc w:val="center"/>
                        <w:rPr>
                          <w:b/>
                          <w:bCs/>
                          <w:caps/>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Pr>
                          <w:b/>
                          <w:bCs/>
                          <w:caps/>
                          <w:sz w:val="36"/>
                          <w:szCs w:val="36"/>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Hypersensitivity</w:t>
                      </w:r>
                    </w:p>
                  </w:txbxContent>
                </v:textbox>
              </v:shape>
            </w:pict>
          </mc:Fallback>
        </mc:AlternateContent>
      </w:r>
    </w:p>
    <w:p w:rsidR="00B454CD" w:rsidRDefault="00B454CD" w:rsidP="00076820">
      <w:pPr>
        <w:rPr>
          <w:rFonts w:asciiTheme="majorHAnsi" w:hAnsiTheme="majorHAnsi"/>
          <w:b/>
          <w:bCs/>
          <w:u w:val="single"/>
        </w:rPr>
      </w:pPr>
    </w:p>
    <w:p w:rsidR="00B454CD" w:rsidRPr="009C2819" w:rsidRDefault="00B454CD" w:rsidP="00F878DB">
      <w:pPr>
        <w:rPr>
          <w:rFonts w:asciiTheme="majorHAnsi" w:hAnsiTheme="majorHAnsi"/>
        </w:rPr>
      </w:pPr>
    </w:p>
    <w:p w:rsidR="00C86171" w:rsidRPr="00C86171" w:rsidRDefault="00C86171" w:rsidP="00C86171">
      <w:pPr>
        <w:rPr>
          <w:rFonts w:asciiTheme="majorHAnsi" w:hAnsiTheme="majorHAnsi"/>
        </w:rPr>
      </w:pPr>
      <w:r w:rsidRPr="00C86171">
        <w:rPr>
          <w:rFonts w:asciiTheme="majorHAnsi" w:hAnsiTheme="majorHAnsi"/>
        </w:rPr>
        <w:t>The term hypersensitivity denotes a condition in which an immune response results in exa</w:t>
      </w:r>
      <w:r w:rsidRPr="00C86171">
        <w:rPr>
          <w:rFonts w:asciiTheme="majorHAnsi" w:hAnsiTheme="majorHAnsi"/>
        </w:rPr>
        <w:t>g</w:t>
      </w:r>
      <w:r w:rsidRPr="00C86171">
        <w:rPr>
          <w:rFonts w:asciiTheme="majorHAnsi" w:hAnsiTheme="majorHAnsi"/>
        </w:rPr>
        <w:t>gerated or inappropriate reactions that are harmful to the host. In a given individual, such r</w:t>
      </w:r>
      <w:r w:rsidRPr="00C86171">
        <w:rPr>
          <w:rFonts w:asciiTheme="majorHAnsi" w:hAnsiTheme="majorHAnsi"/>
        </w:rPr>
        <w:t>e</w:t>
      </w:r>
      <w:r w:rsidRPr="00C86171">
        <w:rPr>
          <w:rFonts w:asciiTheme="majorHAnsi" w:hAnsiTheme="majorHAnsi"/>
        </w:rPr>
        <w:t>actions typically occur after the second contact with a specific antigen (allergen). The first contact is a necessary preliminary event that induces sensitization to that allergen.</w:t>
      </w:r>
    </w:p>
    <w:p w:rsidR="00C86171" w:rsidRPr="00C86171" w:rsidRDefault="00C86171" w:rsidP="00C86171">
      <w:pPr>
        <w:rPr>
          <w:rFonts w:asciiTheme="majorHAnsi" w:hAnsiTheme="majorHAnsi"/>
        </w:rPr>
      </w:pPr>
      <w:r w:rsidRPr="00C86171">
        <w:rPr>
          <w:rFonts w:asciiTheme="majorHAnsi" w:hAnsiTheme="majorHAnsi"/>
        </w:rPr>
        <w:t>There are four main types of hypersensitivity reactions:</w:t>
      </w:r>
    </w:p>
    <w:p w:rsidR="00C86171" w:rsidRPr="00C86171" w:rsidRDefault="00C86171" w:rsidP="00C86171">
      <w:pPr>
        <w:rPr>
          <w:rFonts w:asciiTheme="majorHAnsi" w:hAnsiTheme="majorHAnsi"/>
        </w:rPr>
      </w:pPr>
      <w:r w:rsidRPr="00C86171">
        <w:rPr>
          <w:rFonts w:asciiTheme="majorHAnsi" w:hAnsiTheme="majorHAnsi"/>
        </w:rPr>
        <w:t>Types I, II, and III are antibody mediated, and type IV is T-cell mediated.</w:t>
      </w:r>
    </w:p>
    <w:p w:rsidR="00C86171" w:rsidRPr="00C86171" w:rsidRDefault="00C86171" w:rsidP="00C86171">
      <w:pPr>
        <w:rPr>
          <w:rFonts w:asciiTheme="majorHAnsi" w:hAnsiTheme="majorHAnsi"/>
          <w:b/>
          <w:bCs/>
        </w:rPr>
      </w:pPr>
      <w:r w:rsidRPr="00C86171">
        <w:rPr>
          <w:rFonts w:asciiTheme="majorHAnsi" w:hAnsiTheme="majorHAnsi"/>
          <w:b/>
          <w:bCs/>
        </w:rPr>
        <w:t>TYPE I: IMMEDIATE HYPERSENSITIVITY (ALLERGY)</w:t>
      </w:r>
    </w:p>
    <w:p w:rsidR="00C86171" w:rsidRPr="00C86171" w:rsidRDefault="00C86171" w:rsidP="00C86171">
      <w:pPr>
        <w:rPr>
          <w:rFonts w:asciiTheme="majorHAnsi" w:hAnsiTheme="majorHAnsi"/>
        </w:rPr>
      </w:pPr>
      <w:r w:rsidRPr="00C86171">
        <w:rPr>
          <w:rFonts w:asciiTheme="majorHAnsi" w:hAnsiTheme="majorHAnsi"/>
        </w:rPr>
        <w:t>The general mechanism of immediate hypersensitivity involves the following steps. An ant</w:t>
      </w:r>
      <w:r w:rsidRPr="00C86171">
        <w:rPr>
          <w:rFonts w:asciiTheme="majorHAnsi" w:hAnsiTheme="majorHAnsi"/>
        </w:rPr>
        <w:t>i</w:t>
      </w:r>
      <w:r w:rsidRPr="00C86171">
        <w:rPr>
          <w:rFonts w:asciiTheme="majorHAnsi" w:hAnsiTheme="majorHAnsi"/>
        </w:rPr>
        <w:t>gen induces the formation of IgE antibody, which binds firmly by its Fc portion to high-affinity IgE receptors on mast cells, basophils, and possibly eosinophils. Sometime later, a second e</w:t>
      </w:r>
      <w:r w:rsidRPr="00C86171">
        <w:rPr>
          <w:rFonts w:asciiTheme="majorHAnsi" w:hAnsiTheme="majorHAnsi"/>
        </w:rPr>
        <w:t>x</w:t>
      </w:r>
      <w:r w:rsidRPr="00C86171">
        <w:rPr>
          <w:rFonts w:asciiTheme="majorHAnsi" w:hAnsiTheme="majorHAnsi"/>
        </w:rPr>
        <w:t>posure of the individual with the same antigen results in the antigen’s binding to cell-bound IgE, cross-linking of IgE molecules, and inducing the release of pharmacologically active m</w:t>
      </w:r>
      <w:r w:rsidRPr="00C86171">
        <w:rPr>
          <w:rFonts w:asciiTheme="majorHAnsi" w:hAnsiTheme="majorHAnsi"/>
        </w:rPr>
        <w:t>e</w:t>
      </w:r>
      <w:r w:rsidRPr="00C86171">
        <w:rPr>
          <w:rFonts w:asciiTheme="majorHAnsi" w:hAnsiTheme="majorHAnsi"/>
        </w:rPr>
        <w:t>diators (Histamine, Prostaglandins and leukotrienes) from cells within seconds to minutes. An example of this type is Hay fever).</w:t>
      </w:r>
    </w:p>
    <w:p w:rsidR="00C86171" w:rsidRPr="00C86171" w:rsidRDefault="00C86171" w:rsidP="00C86171">
      <w:pPr>
        <w:rPr>
          <w:rFonts w:asciiTheme="majorHAnsi" w:hAnsiTheme="majorHAnsi"/>
          <w:b/>
          <w:bCs/>
        </w:rPr>
      </w:pPr>
      <w:r w:rsidRPr="00C86171">
        <w:rPr>
          <w:rFonts w:asciiTheme="majorHAnsi" w:hAnsiTheme="majorHAnsi"/>
          <w:b/>
          <w:bCs/>
        </w:rPr>
        <w:t>TYPE II: HYPERSENSITIVITY</w:t>
      </w:r>
    </w:p>
    <w:p w:rsidR="00C86171" w:rsidRPr="00C86171" w:rsidRDefault="00C86171" w:rsidP="00C86171">
      <w:pPr>
        <w:rPr>
          <w:rFonts w:asciiTheme="majorHAnsi" w:hAnsiTheme="majorHAnsi"/>
        </w:rPr>
      </w:pPr>
      <w:r w:rsidRPr="00C86171">
        <w:rPr>
          <w:rFonts w:asciiTheme="majorHAnsi" w:hAnsiTheme="majorHAnsi"/>
        </w:rPr>
        <w:t>Type II hypersensitivity involves the binding of IgG antibodies to cell surface antigens or e</w:t>
      </w:r>
      <w:r w:rsidRPr="00C86171">
        <w:rPr>
          <w:rFonts w:asciiTheme="majorHAnsi" w:hAnsiTheme="majorHAnsi"/>
        </w:rPr>
        <w:t>x</w:t>
      </w:r>
      <w:r w:rsidRPr="00C86171">
        <w:rPr>
          <w:rFonts w:asciiTheme="majorHAnsi" w:hAnsiTheme="majorHAnsi"/>
        </w:rPr>
        <w:t>tracellular matrix molecules. Antibody directed at cell surface antigens can activate compl</w:t>
      </w:r>
      <w:r w:rsidRPr="00C86171">
        <w:rPr>
          <w:rFonts w:asciiTheme="majorHAnsi" w:hAnsiTheme="majorHAnsi"/>
        </w:rPr>
        <w:t>e</w:t>
      </w:r>
      <w:r w:rsidRPr="00C86171">
        <w:rPr>
          <w:rFonts w:asciiTheme="majorHAnsi" w:hAnsiTheme="majorHAnsi"/>
        </w:rPr>
        <w:t>ment (or other effectors) to damage the cells. The result may be compl</w:t>
      </w:r>
      <w:r w:rsidRPr="00C86171">
        <w:rPr>
          <w:rFonts w:asciiTheme="majorHAnsi" w:hAnsiTheme="majorHAnsi"/>
        </w:rPr>
        <w:t>e</w:t>
      </w:r>
      <w:r w:rsidRPr="00C86171">
        <w:rPr>
          <w:rFonts w:asciiTheme="majorHAnsi" w:hAnsiTheme="majorHAnsi"/>
        </w:rPr>
        <w:t>ment-mediated lysis, which occurs in hemolytic anemias, ABO transfusion reactions, and Rh hemolytic disease.</w:t>
      </w:r>
    </w:p>
    <w:p w:rsidR="00C86171" w:rsidRPr="00C86171" w:rsidRDefault="00C86171" w:rsidP="00C86171">
      <w:pPr>
        <w:rPr>
          <w:rFonts w:asciiTheme="majorHAnsi" w:hAnsiTheme="majorHAnsi"/>
        </w:rPr>
      </w:pPr>
      <w:r w:rsidRPr="00C86171">
        <w:rPr>
          <w:rFonts w:asciiTheme="majorHAnsi" w:hAnsiTheme="majorHAnsi"/>
        </w:rPr>
        <w:t>Drugs such as penicillin can attach to surface proteins on red blood cells and initiate antibody formation. Such autoimmune antibodies may then combine with the cell surface, with resul</w:t>
      </w:r>
      <w:r w:rsidRPr="00C86171">
        <w:rPr>
          <w:rFonts w:asciiTheme="majorHAnsi" w:hAnsiTheme="majorHAnsi"/>
        </w:rPr>
        <w:t>t</w:t>
      </w:r>
      <w:r w:rsidRPr="00C86171">
        <w:rPr>
          <w:rFonts w:asciiTheme="majorHAnsi" w:hAnsiTheme="majorHAnsi"/>
        </w:rPr>
        <w:t>ing hemolysis.</w:t>
      </w:r>
    </w:p>
    <w:p w:rsidR="00C86171" w:rsidRPr="00C86171" w:rsidRDefault="00C86171" w:rsidP="00C86171">
      <w:pPr>
        <w:rPr>
          <w:rFonts w:asciiTheme="majorHAnsi" w:hAnsiTheme="majorHAnsi"/>
          <w:b/>
          <w:bCs/>
        </w:rPr>
      </w:pPr>
      <w:r w:rsidRPr="00C86171">
        <w:rPr>
          <w:rFonts w:asciiTheme="majorHAnsi" w:hAnsiTheme="majorHAnsi"/>
          <w:b/>
          <w:bCs/>
        </w:rPr>
        <w:t>TYPE III: IMMUNE COMPLEX HYPERSENSITIVITY</w:t>
      </w:r>
    </w:p>
    <w:p w:rsidR="00C86171" w:rsidRPr="00C86171" w:rsidRDefault="00C86171" w:rsidP="00C86171">
      <w:pPr>
        <w:rPr>
          <w:rFonts w:asciiTheme="majorHAnsi" w:hAnsiTheme="majorHAnsi"/>
        </w:rPr>
      </w:pPr>
      <w:r w:rsidRPr="00C86171">
        <w:rPr>
          <w:rFonts w:asciiTheme="majorHAnsi" w:hAnsiTheme="majorHAnsi"/>
        </w:rPr>
        <w:t>When antibody combines with its specific antigen, immune complexes are formed. Normally, they are promptly removed, but occasionally, they persist and are deposited in tissues, resul</w:t>
      </w:r>
      <w:r w:rsidRPr="00C86171">
        <w:rPr>
          <w:rFonts w:asciiTheme="majorHAnsi" w:hAnsiTheme="majorHAnsi"/>
        </w:rPr>
        <w:t>t</w:t>
      </w:r>
      <w:r w:rsidRPr="00C86171">
        <w:rPr>
          <w:rFonts w:asciiTheme="majorHAnsi" w:hAnsiTheme="majorHAnsi"/>
        </w:rPr>
        <w:t xml:space="preserve">ing in several disorders. In persistent microbial or viral infections, immune complexes may be deposited in organs (eg, the kidneys), resulting in dysfunction. In autoimmune disorders, “self” antigens may elicit antibodies that bind to organ antigens or are deposited in organs and </w:t>
      </w:r>
      <w:r w:rsidRPr="00C86171">
        <w:rPr>
          <w:rFonts w:asciiTheme="majorHAnsi" w:hAnsiTheme="majorHAnsi"/>
        </w:rPr>
        <w:lastRenderedPageBreak/>
        <w:t>tissues as complexes, especially in joints (arthritis), kidneys (nephritis), and blood vessels (vasculitis). Finally, environmental ant</w:t>
      </w:r>
      <w:r w:rsidRPr="00C86171">
        <w:rPr>
          <w:rFonts w:asciiTheme="majorHAnsi" w:hAnsiTheme="majorHAnsi"/>
        </w:rPr>
        <w:t>i</w:t>
      </w:r>
      <w:r w:rsidRPr="00C86171">
        <w:rPr>
          <w:rFonts w:asciiTheme="majorHAnsi" w:hAnsiTheme="majorHAnsi"/>
        </w:rPr>
        <w:t>gens such as fungal spores and certain drugs can cause immune complex formation with disease.</w:t>
      </w:r>
    </w:p>
    <w:p w:rsidR="00C86171" w:rsidRPr="00C86171" w:rsidRDefault="00C86171" w:rsidP="00C86171">
      <w:pPr>
        <w:rPr>
          <w:rFonts w:asciiTheme="majorHAnsi" w:hAnsiTheme="majorHAnsi"/>
        </w:rPr>
      </w:pPr>
      <w:r w:rsidRPr="00C86171">
        <w:rPr>
          <w:rFonts w:asciiTheme="majorHAnsi" w:hAnsiTheme="majorHAnsi"/>
        </w:rPr>
        <w:t>Wherever immune complexes are deposited, they activate the complement system, and ma</w:t>
      </w:r>
      <w:r w:rsidRPr="00C86171">
        <w:rPr>
          <w:rFonts w:asciiTheme="majorHAnsi" w:hAnsiTheme="majorHAnsi"/>
        </w:rPr>
        <w:t>c</w:t>
      </w:r>
      <w:r w:rsidRPr="00C86171">
        <w:rPr>
          <w:rFonts w:asciiTheme="majorHAnsi" w:hAnsiTheme="majorHAnsi"/>
        </w:rPr>
        <w:t>rophages and neutrophils are attracted to the site, where they cause inflammation and tissue injury.</w:t>
      </w:r>
    </w:p>
    <w:p w:rsidR="00C86171" w:rsidRPr="00C86171" w:rsidRDefault="00C86171" w:rsidP="00C86171">
      <w:pPr>
        <w:rPr>
          <w:rFonts w:asciiTheme="majorHAnsi" w:hAnsiTheme="majorHAnsi"/>
          <w:b/>
          <w:bCs/>
        </w:rPr>
      </w:pPr>
      <w:r w:rsidRPr="00C86171">
        <w:rPr>
          <w:rFonts w:asciiTheme="majorHAnsi" w:hAnsiTheme="majorHAnsi"/>
          <w:b/>
          <w:bCs/>
        </w:rPr>
        <w:t>TYPE IV: CELL-MEDIATED (DELAYED) HYPERSENSITIVITY</w:t>
      </w:r>
    </w:p>
    <w:p w:rsidR="00C86171" w:rsidRPr="00C86171" w:rsidRDefault="00C86171" w:rsidP="00C86171">
      <w:pPr>
        <w:rPr>
          <w:rFonts w:asciiTheme="majorHAnsi" w:hAnsiTheme="majorHAnsi"/>
        </w:rPr>
      </w:pPr>
      <w:r w:rsidRPr="00C86171">
        <w:rPr>
          <w:rFonts w:asciiTheme="majorHAnsi" w:hAnsiTheme="majorHAnsi"/>
        </w:rPr>
        <w:t>Cell-mediated hypersensitivity is a function not of antibody but of specifically sensitized T lymphocytes that activate macrophages to cause an inflammatory response. The response is delayed— it usually starts 2 or 3 days after contact with the antigen and o</w:t>
      </w:r>
      <w:r w:rsidRPr="00C86171">
        <w:rPr>
          <w:rFonts w:asciiTheme="majorHAnsi" w:hAnsiTheme="majorHAnsi"/>
        </w:rPr>
        <w:t>f</w:t>
      </w:r>
      <w:r w:rsidRPr="00C86171">
        <w:rPr>
          <w:rFonts w:asciiTheme="majorHAnsi" w:hAnsiTheme="majorHAnsi"/>
        </w:rPr>
        <w:t>ten lasts for days.</w:t>
      </w:r>
    </w:p>
    <w:p w:rsidR="00C86171" w:rsidRPr="00C86171" w:rsidRDefault="00C86171" w:rsidP="00C86171">
      <w:pPr>
        <w:rPr>
          <w:rFonts w:asciiTheme="majorHAnsi" w:hAnsiTheme="majorHAnsi"/>
          <w:b/>
          <w:bCs/>
        </w:rPr>
      </w:pPr>
      <w:r w:rsidRPr="00C86171">
        <w:rPr>
          <w:rFonts w:asciiTheme="majorHAnsi" w:hAnsiTheme="majorHAnsi"/>
          <w:b/>
          <w:bCs/>
        </w:rPr>
        <w:t>A. Contact Hypersensitivity</w:t>
      </w:r>
    </w:p>
    <w:p w:rsidR="00B454CD" w:rsidRDefault="00C86171" w:rsidP="00C86171">
      <w:pPr>
        <w:rPr>
          <w:rFonts w:asciiTheme="majorHAnsi" w:hAnsiTheme="majorHAnsi"/>
        </w:rPr>
      </w:pPr>
      <w:r w:rsidRPr="00C86171">
        <w:rPr>
          <w:rFonts w:asciiTheme="majorHAnsi" w:hAnsiTheme="majorHAnsi"/>
        </w:rPr>
        <w:t>Contact hypersensitivity occurs after sensitization with</w:t>
      </w:r>
      <w:r>
        <w:rPr>
          <w:rFonts w:asciiTheme="majorHAnsi" w:hAnsiTheme="majorHAnsi"/>
        </w:rPr>
        <w:t xml:space="preserve"> </w:t>
      </w:r>
      <w:r w:rsidRPr="00C86171">
        <w:rPr>
          <w:rFonts w:asciiTheme="majorHAnsi" w:hAnsiTheme="majorHAnsi"/>
        </w:rPr>
        <w:t>simple chemicals (eg, nickel, forma</w:t>
      </w:r>
      <w:r w:rsidRPr="00C86171">
        <w:rPr>
          <w:rFonts w:asciiTheme="majorHAnsi" w:hAnsiTheme="majorHAnsi"/>
        </w:rPr>
        <w:t>l</w:t>
      </w:r>
      <w:r w:rsidRPr="00C86171">
        <w:rPr>
          <w:rFonts w:asciiTheme="majorHAnsi" w:hAnsiTheme="majorHAnsi"/>
        </w:rPr>
        <w:t>dehyde), plant materials</w:t>
      </w:r>
      <w:r>
        <w:rPr>
          <w:rFonts w:asciiTheme="majorHAnsi" w:hAnsiTheme="majorHAnsi"/>
        </w:rPr>
        <w:t xml:space="preserve"> </w:t>
      </w:r>
      <w:r w:rsidRPr="00C86171">
        <w:rPr>
          <w:rFonts w:asciiTheme="majorHAnsi" w:hAnsiTheme="majorHAnsi"/>
        </w:rPr>
        <w:t>(poison ivy, poison oak), topically applied drugs (eg,</w:t>
      </w:r>
      <w:r>
        <w:rPr>
          <w:rFonts w:asciiTheme="majorHAnsi" w:hAnsiTheme="majorHAnsi"/>
        </w:rPr>
        <w:t xml:space="preserve"> </w:t>
      </w:r>
      <w:r w:rsidRPr="00C86171">
        <w:rPr>
          <w:rFonts w:asciiTheme="majorHAnsi" w:hAnsiTheme="majorHAnsi"/>
        </w:rPr>
        <w:t>sulfonamides, neomycin), some cosmetics, soaps, and other</w:t>
      </w:r>
      <w:r>
        <w:rPr>
          <w:rFonts w:asciiTheme="majorHAnsi" w:hAnsiTheme="majorHAnsi"/>
        </w:rPr>
        <w:t xml:space="preserve"> </w:t>
      </w:r>
      <w:r w:rsidRPr="00C86171">
        <w:rPr>
          <w:rFonts w:asciiTheme="majorHAnsi" w:hAnsiTheme="majorHAnsi"/>
        </w:rPr>
        <w:t>substances. In all cases, small molecules enter the skin and</w:t>
      </w:r>
      <w:r>
        <w:rPr>
          <w:rFonts w:asciiTheme="majorHAnsi" w:hAnsiTheme="majorHAnsi"/>
        </w:rPr>
        <w:t xml:space="preserve"> </w:t>
      </w:r>
      <w:r w:rsidRPr="00C86171">
        <w:rPr>
          <w:rFonts w:asciiTheme="majorHAnsi" w:hAnsiTheme="majorHAnsi"/>
        </w:rPr>
        <w:t>then, acting as haptens, attach to body proteins to serve as</w:t>
      </w:r>
      <w:r>
        <w:rPr>
          <w:rFonts w:asciiTheme="majorHAnsi" w:hAnsiTheme="majorHAnsi"/>
        </w:rPr>
        <w:t xml:space="preserve"> </w:t>
      </w:r>
      <w:r w:rsidRPr="00C86171">
        <w:rPr>
          <w:rFonts w:asciiTheme="majorHAnsi" w:hAnsiTheme="majorHAnsi"/>
        </w:rPr>
        <w:t>complete antigens. Cell-mediated hypersensitivity is induced,</w:t>
      </w:r>
      <w:r>
        <w:rPr>
          <w:rFonts w:asciiTheme="majorHAnsi" w:hAnsiTheme="majorHAnsi"/>
        </w:rPr>
        <w:t xml:space="preserve"> </w:t>
      </w:r>
      <w:r w:rsidRPr="00C86171">
        <w:rPr>
          <w:rFonts w:asciiTheme="majorHAnsi" w:hAnsiTheme="majorHAnsi"/>
        </w:rPr>
        <w:t>particularly in the skin. When the skin again comes in contact</w:t>
      </w:r>
      <w:r>
        <w:rPr>
          <w:rFonts w:asciiTheme="majorHAnsi" w:hAnsiTheme="majorHAnsi"/>
        </w:rPr>
        <w:t xml:space="preserve"> </w:t>
      </w:r>
      <w:r w:rsidRPr="00C86171">
        <w:rPr>
          <w:rFonts w:asciiTheme="majorHAnsi" w:hAnsiTheme="majorHAnsi"/>
        </w:rPr>
        <w:t>with the offending agent, the sensitized person develops</w:t>
      </w:r>
      <w:r>
        <w:rPr>
          <w:rFonts w:asciiTheme="majorHAnsi" w:hAnsiTheme="majorHAnsi"/>
        </w:rPr>
        <w:t xml:space="preserve"> </w:t>
      </w:r>
      <w:r w:rsidRPr="00C86171">
        <w:rPr>
          <w:rFonts w:asciiTheme="majorHAnsi" w:hAnsiTheme="majorHAnsi"/>
        </w:rPr>
        <w:t>erythema, itching, vesic</w:t>
      </w:r>
      <w:r w:rsidRPr="00C86171">
        <w:rPr>
          <w:rFonts w:asciiTheme="majorHAnsi" w:hAnsiTheme="majorHAnsi"/>
        </w:rPr>
        <w:t>a</w:t>
      </w:r>
      <w:r w:rsidRPr="00C86171">
        <w:rPr>
          <w:rFonts w:asciiTheme="majorHAnsi" w:hAnsiTheme="majorHAnsi"/>
        </w:rPr>
        <w:t>tion, eczema, or necrosis of skin within</w:t>
      </w:r>
      <w:r>
        <w:rPr>
          <w:rFonts w:asciiTheme="majorHAnsi" w:hAnsiTheme="majorHAnsi"/>
        </w:rPr>
        <w:t xml:space="preserve"> </w:t>
      </w:r>
      <w:r w:rsidRPr="00C86171">
        <w:rPr>
          <w:rFonts w:asciiTheme="majorHAnsi" w:hAnsiTheme="majorHAnsi"/>
        </w:rPr>
        <w:t>12-48 hours.</w:t>
      </w:r>
    </w:p>
    <w:p w:rsidR="00C86171" w:rsidRPr="00C86171" w:rsidRDefault="00C86171" w:rsidP="00C86171">
      <w:pPr>
        <w:rPr>
          <w:rFonts w:asciiTheme="majorHAnsi" w:hAnsiTheme="majorHAnsi"/>
          <w:b/>
          <w:bCs/>
        </w:rPr>
      </w:pPr>
      <w:r w:rsidRPr="00C86171">
        <w:rPr>
          <w:rFonts w:asciiTheme="majorHAnsi" w:hAnsiTheme="majorHAnsi"/>
          <w:b/>
          <w:bCs/>
        </w:rPr>
        <w:t>B. Tuberculin-Type Hypersensitivity</w:t>
      </w:r>
    </w:p>
    <w:p w:rsidR="00C86171" w:rsidRPr="00C86171" w:rsidRDefault="00C86171" w:rsidP="00C86171">
      <w:pPr>
        <w:rPr>
          <w:rFonts w:asciiTheme="majorHAnsi" w:hAnsiTheme="majorHAnsi"/>
        </w:rPr>
      </w:pPr>
      <w:r w:rsidRPr="00C86171">
        <w:rPr>
          <w:rFonts w:asciiTheme="majorHAnsi" w:hAnsiTheme="majorHAnsi"/>
        </w:rPr>
        <w:t>Delayed hypersensitivity to antigens of microorganisms occurs</w:t>
      </w:r>
      <w:r>
        <w:rPr>
          <w:rFonts w:asciiTheme="majorHAnsi" w:hAnsiTheme="majorHAnsi"/>
        </w:rPr>
        <w:t xml:space="preserve"> </w:t>
      </w:r>
      <w:r w:rsidRPr="00C86171">
        <w:rPr>
          <w:rFonts w:asciiTheme="majorHAnsi" w:hAnsiTheme="majorHAnsi"/>
        </w:rPr>
        <w:t>in many infectious diseases and it has been used as an aid in</w:t>
      </w:r>
      <w:r>
        <w:rPr>
          <w:rFonts w:asciiTheme="majorHAnsi" w:hAnsiTheme="majorHAnsi"/>
        </w:rPr>
        <w:t xml:space="preserve"> </w:t>
      </w:r>
      <w:r w:rsidRPr="00C86171">
        <w:rPr>
          <w:rFonts w:asciiTheme="majorHAnsi" w:hAnsiTheme="majorHAnsi"/>
        </w:rPr>
        <w:t>diagnosis. It is typified by the tuberculin reaction. When a</w:t>
      </w:r>
      <w:r>
        <w:rPr>
          <w:rFonts w:asciiTheme="majorHAnsi" w:hAnsiTheme="majorHAnsi"/>
        </w:rPr>
        <w:t xml:space="preserve"> </w:t>
      </w:r>
      <w:r w:rsidRPr="00C86171">
        <w:rPr>
          <w:rFonts w:asciiTheme="majorHAnsi" w:hAnsiTheme="majorHAnsi"/>
        </w:rPr>
        <w:t>small amount of tuberculin is injected into the epidermis of</w:t>
      </w:r>
      <w:r>
        <w:rPr>
          <w:rFonts w:asciiTheme="majorHAnsi" w:hAnsiTheme="majorHAnsi"/>
        </w:rPr>
        <w:t xml:space="preserve"> </w:t>
      </w:r>
      <w:r w:rsidRPr="00C86171">
        <w:rPr>
          <w:rFonts w:asciiTheme="majorHAnsi" w:hAnsiTheme="majorHAnsi"/>
        </w:rPr>
        <w:t xml:space="preserve">a patient previously exposed to </w:t>
      </w:r>
      <w:r w:rsidRPr="00C86171">
        <w:rPr>
          <w:rFonts w:asciiTheme="majorHAnsi" w:hAnsiTheme="majorHAnsi"/>
          <w:i/>
          <w:iCs/>
        </w:rPr>
        <w:t>Mycobacterium tuberculosis</w:t>
      </w:r>
      <w:r w:rsidRPr="00C86171">
        <w:rPr>
          <w:rFonts w:asciiTheme="majorHAnsi" w:hAnsiTheme="majorHAnsi"/>
        </w:rPr>
        <w:t>,</w:t>
      </w:r>
      <w:r>
        <w:rPr>
          <w:rFonts w:asciiTheme="majorHAnsi" w:hAnsiTheme="majorHAnsi"/>
        </w:rPr>
        <w:t xml:space="preserve"> </w:t>
      </w:r>
      <w:r w:rsidRPr="00C86171">
        <w:rPr>
          <w:rFonts w:asciiTheme="majorHAnsi" w:hAnsiTheme="majorHAnsi"/>
        </w:rPr>
        <w:t>there is little immediate reaction. Gradually, however, indur</w:t>
      </w:r>
      <w:r w:rsidRPr="00C86171">
        <w:rPr>
          <w:rFonts w:asciiTheme="majorHAnsi" w:hAnsiTheme="majorHAnsi"/>
        </w:rPr>
        <w:t>a</w:t>
      </w:r>
      <w:r w:rsidRPr="00C86171">
        <w:rPr>
          <w:rFonts w:asciiTheme="majorHAnsi" w:hAnsiTheme="majorHAnsi"/>
        </w:rPr>
        <w:t>tion</w:t>
      </w:r>
      <w:r>
        <w:rPr>
          <w:rFonts w:asciiTheme="majorHAnsi" w:hAnsiTheme="majorHAnsi"/>
        </w:rPr>
        <w:t xml:space="preserve"> </w:t>
      </w:r>
      <w:r w:rsidRPr="00C86171">
        <w:rPr>
          <w:rFonts w:asciiTheme="majorHAnsi" w:hAnsiTheme="majorHAnsi"/>
        </w:rPr>
        <w:t>and redness develop and reach a peak in 24–72 hours.</w:t>
      </w:r>
      <w:r>
        <w:rPr>
          <w:rFonts w:asciiTheme="majorHAnsi" w:hAnsiTheme="majorHAnsi"/>
        </w:rPr>
        <w:t xml:space="preserve"> </w:t>
      </w:r>
      <w:r w:rsidRPr="00C86171">
        <w:rPr>
          <w:rFonts w:asciiTheme="majorHAnsi" w:hAnsiTheme="majorHAnsi"/>
        </w:rPr>
        <w:t>Mononuclear cells accumulate in the subcutaneous tissue, and</w:t>
      </w:r>
      <w:r>
        <w:rPr>
          <w:rFonts w:asciiTheme="majorHAnsi" w:hAnsiTheme="majorHAnsi"/>
        </w:rPr>
        <w:t xml:space="preserve"> </w:t>
      </w:r>
      <w:r w:rsidRPr="00C86171">
        <w:rPr>
          <w:rFonts w:asciiTheme="majorHAnsi" w:hAnsiTheme="majorHAnsi"/>
        </w:rPr>
        <w:t>there are CD4 Th1 cells in abundance. A positive skin test ind</w:t>
      </w:r>
      <w:r w:rsidRPr="00C86171">
        <w:rPr>
          <w:rFonts w:asciiTheme="majorHAnsi" w:hAnsiTheme="majorHAnsi"/>
        </w:rPr>
        <w:t>i</w:t>
      </w:r>
      <w:r w:rsidRPr="00C86171">
        <w:rPr>
          <w:rFonts w:asciiTheme="majorHAnsi" w:hAnsiTheme="majorHAnsi"/>
        </w:rPr>
        <w:t>cates</w:t>
      </w:r>
      <w:r>
        <w:rPr>
          <w:rFonts w:asciiTheme="majorHAnsi" w:hAnsiTheme="majorHAnsi"/>
        </w:rPr>
        <w:t xml:space="preserve"> </w:t>
      </w:r>
      <w:r w:rsidRPr="00C86171">
        <w:rPr>
          <w:rFonts w:asciiTheme="majorHAnsi" w:hAnsiTheme="majorHAnsi"/>
        </w:rPr>
        <w:t>that the person has been infected with the agent but does</w:t>
      </w:r>
      <w:r>
        <w:rPr>
          <w:rFonts w:asciiTheme="majorHAnsi" w:hAnsiTheme="majorHAnsi"/>
        </w:rPr>
        <w:t xml:space="preserve"> </w:t>
      </w:r>
      <w:r w:rsidRPr="00C86171">
        <w:rPr>
          <w:rFonts w:asciiTheme="majorHAnsi" w:hAnsiTheme="majorHAnsi"/>
        </w:rPr>
        <w:t>not imply the presence of cu</w:t>
      </w:r>
      <w:r w:rsidRPr="00C86171">
        <w:rPr>
          <w:rFonts w:asciiTheme="majorHAnsi" w:hAnsiTheme="majorHAnsi"/>
        </w:rPr>
        <w:t>r</w:t>
      </w:r>
      <w:r w:rsidRPr="00C86171">
        <w:rPr>
          <w:rFonts w:asciiTheme="majorHAnsi" w:hAnsiTheme="majorHAnsi"/>
        </w:rPr>
        <w:t>rent disease. However, a recent</w:t>
      </w:r>
      <w:r>
        <w:rPr>
          <w:rFonts w:asciiTheme="majorHAnsi" w:hAnsiTheme="majorHAnsi"/>
        </w:rPr>
        <w:t xml:space="preserve"> </w:t>
      </w:r>
      <w:r w:rsidRPr="00C86171">
        <w:rPr>
          <w:rFonts w:asciiTheme="majorHAnsi" w:hAnsiTheme="majorHAnsi"/>
        </w:rPr>
        <w:t>change of skin test response from negative to positive suggests</w:t>
      </w:r>
      <w:r>
        <w:rPr>
          <w:rFonts w:asciiTheme="majorHAnsi" w:hAnsiTheme="majorHAnsi"/>
        </w:rPr>
        <w:t xml:space="preserve"> </w:t>
      </w:r>
      <w:r w:rsidRPr="00C86171">
        <w:rPr>
          <w:rFonts w:asciiTheme="majorHAnsi" w:hAnsiTheme="majorHAnsi"/>
        </w:rPr>
        <w:t>r</w:t>
      </w:r>
      <w:r w:rsidRPr="00C86171">
        <w:rPr>
          <w:rFonts w:asciiTheme="majorHAnsi" w:hAnsiTheme="majorHAnsi"/>
        </w:rPr>
        <w:t>e</w:t>
      </w:r>
      <w:r w:rsidRPr="00C86171">
        <w:rPr>
          <w:rFonts w:asciiTheme="majorHAnsi" w:hAnsiTheme="majorHAnsi"/>
        </w:rPr>
        <w:t>cent infection and possible current activity.</w:t>
      </w:r>
    </w:p>
    <w:p w:rsidR="00464442" w:rsidRDefault="00464442" w:rsidP="00C358F5">
      <w:pPr>
        <w:rPr>
          <w:rFonts w:asciiTheme="majorHAnsi" w:hAnsiTheme="majorHAnsi"/>
          <w:b/>
          <w:bCs/>
        </w:rPr>
      </w:pPr>
      <w:bookmarkStart w:id="0" w:name="_GoBack"/>
      <w:r>
        <w:rPr>
          <w:rFonts w:asciiTheme="majorHAnsi" w:hAnsiTheme="majorHAnsi"/>
          <w:b/>
          <w:bCs/>
          <w:noProof/>
        </w:rPr>
        <w:drawing>
          <wp:inline distT="0" distB="0" distL="0" distR="0">
            <wp:extent cx="5764695" cy="829321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2126" cy="8303901"/>
                    </a:xfrm>
                    <a:prstGeom prst="rect">
                      <a:avLst/>
                    </a:prstGeom>
                    <a:noFill/>
                    <a:ln>
                      <a:noFill/>
                    </a:ln>
                  </pic:spPr>
                </pic:pic>
              </a:graphicData>
            </a:graphic>
          </wp:inline>
        </w:drawing>
      </w:r>
      <w:bookmarkEnd w:id="0"/>
    </w:p>
    <w:sectPr w:rsidR="00464442" w:rsidSect="004407FE">
      <w:headerReference w:type="default" r:id="rId10"/>
      <w:pgSz w:w="12240" w:h="15840"/>
      <w:pgMar w:top="1134" w:right="1304" w:bottom="1134" w:left="130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CD4" w:rsidRDefault="001B7CD4" w:rsidP="001202EB">
      <w:pPr>
        <w:spacing w:line="240" w:lineRule="auto"/>
      </w:pPr>
      <w:r>
        <w:separator/>
      </w:r>
    </w:p>
  </w:endnote>
  <w:endnote w:type="continuationSeparator" w:id="0">
    <w:p w:rsidR="001B7CD4" w:rsidRDefault="001B7CD4" w:rsidP="001202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Pro-Bold">
    <w:panose1 w:val="00000000000000000000"/>
    <w:charset w:val="B2"/>
    <w:family w:val="swiss"/>
    <w:notTrueType/>
    <w:pitch w:val="default"/>
    <w:sig w:usb0="00002001" w:usb1="00000000" w:usb2="00000000" w:usb3="00000000" w:csb0="00000040"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CD4" w:rsidRDefault="001B7CD4" w:rsidP="001202EB">
      <w:pPr>
        <w:spacing w:line="240" w:lineRule="auto"/>
      </w:pPr>
      <w:r>
        <w:separator/>
      </w:r>
    </w:p>
  </w:footnote>
  <w:footnote w:type="continuationSeparator" w:id="0">
    <w:p w:rsidR="001B7CD4" w:rsidRDefault="001B7CD4" w:rsidP="001202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696"/>
      <w:gridCol w:w="1152"/>
    </w:tblGrid>
    <w:tr w:rsidR="00B414EE">
      <w:tc>
        <w:tcPr>
          <w:tcW w:w="0" w:type="auto"/>
          <w:tcBorders>
            <w:right w:val="single" w:sz="6" w:space="0" w:color="000000" w:themeColor="text1"/>
          </w:tcBorders>
        </w:tcPr>
        <w:p w:rsidR="00B414EE" w:rsidRPr="00F051C3" w:rsidRDefault="00181053">
          <w:pPr>
            <w:pStyle w:val="Header"/>
            <w:jc w:val="right"/>
            <w:rPr>
              <w:rFonts w:ascii="Monotype Corsiva" w:hAnsi="Monotype Corsiva"/>
            </w:rPr>
          </w:pPr>
          <w:r>
            <w:rPr>
              <w:rFonts w:ascii="Monotype Corsiva" w:hAnsi="Monotype Corsiva"/>
            </w:rPr>
            <w:t>HYPERSENSITIVITY</w:t>
          </w:r>
          <w:r w:rsidRPr="00F051C3">
            <w:rPr>
              <w:rFonts w:ascii="Monotype Corsiva" w:hAnsi="Monotype Corsiva"/>
            </w:rPr>
            <w:t xml:space="preserve"> </w:t>
          </w:r>
        </w:p>
        <w:p w:rsidR="00B414EE" w:rsidRDefault="001B7CD4">
          <w:pPr>
            <w:pStyle w:val="Header"/>
            <w:jc w:val="right"/>
            <w:rPr>
              <w:b/>
              <w:bCs/>
            </w:rPr>
          </w:pPr>
          <w:sdt>
            <w:sdtPr>
              <w:rPr>
                <w:rFonts w:ascii="Monotype Corsiva" w:hAnsi="Monotype Corsiva"/>
              </w:rPr>
              <w:alias w:val="Title"/>
              <w:id w:val="78735415"/>
              <w:placeholder>
                <w:docPart w:val="A23B79FD33C64A6BA2B337133EE3393B"/>
              </w:placeholder>
              <w:dataBinding w:prefixMappings="xmlns:ns0='http://schemas.openxmlformats.org/package/2006/metadata/core-properties' xmlns:ns1='http://purl.org/dc/elements/1.1/'" w:xpath="/ns0:coreProperties[1]/ns1:title[1]" w:storeItemID="{6C3C8BC8-F283-45AE-878A-BAB7291924A1}"/>
              <w:text/>
            </w:sdtPr>
            <w:sdtEndPr/>
            <w:sdtContent>
              <w:r w:rsidR="00B414EE" w:rsidRPr="00F051C3">
                <w:rPr>
                  <w:rFonts w:ascii="Monotype Corsiva" w:hAnsi="Monotype Corsiva"/>
                  <w:lang w:bidi="ar-IQ"/>
                </w:rPr>
                <w:t>Dr. Osama Sadiq Al-Aidany</w:t>
              </w:r>
            </w:sdtContent>
          </w:sdt>
        </w:p>
      </w:tc>
      <w:tc>
        <w:tcPr>
          <w:tcW w:w="1152" w:type="dxa"/>
          <w:tcBorders>
            <w:left w:val="single" w:sz="6" w:space="0" w:color="000000" w:themeColor="text1"/>
          </w:tcBorders>
        </w:tcPr>
        <w:p w:rsidR="00B414EE" w:rsidRPr="00F051C3" w:rsidRDefault="00B414EE">
          <w:pPr>
            <w:pStyle w:val="Header"/>
            <w:rPr>
              <w:rFonts w:asciiTheme="majorHAnsi" w:hAnsiTheme="majorHAnsi"/>
              <w:i/>
              <w:iCs/>
            </w:rPr>
          </w:pPr>
          <w:r w:rsidRPr="00F051C3">
            <w:rPr>
              <w:rFonts w:asciiTheme="majorHAnsi" w:hAnsiTheme="majorHAnsi"/>
              <w:i/>
              <w:iCs/>
            </w:rPr>
            <w:fldChar w:fldCharType="begin"/>
          </w:r>
          <w:r w:rsidRPr="00F051C3">
            <w:rPr>
              <w:rFonts w:asciiTheme="majorHAnsi" w:hAnsiTheme="majorHAnsi"/>
              <w:i/>
              <w:iCs/>
            </w:rPr>
            <w:instrText xml:space="preserve"> PAGE   \* MERGEFORMAT </w:instrText>
          </w:r>
          <w:r w:rsidRPr="00F051C3">
            <w:rPr>
              <w:rFonts w:asciiTheme="majorHAnsi" w:hAnsiTheme="majorHAnsi"/>
              <w:i/>
              <w:iCs/>
            </w:rPr>
            <w:fldChar w:fldCharType="separate"/>
          </w:r>
          <w:r w:rsidR="001B7CD4">
            <w:rPr>
              <w:rFonts w:asciiTheme="majorHAnsi" w:hAnsiTheme="majorHAnsi"/>
              <w:i/>
              <w:iCs/>
              <w:noProof/>
            </w:rPr>
            <w:t>19</w:t>
          </w:r>
          <w:r w:rsidRPr="00F051C3">
            <w:rPr>
              <w:rFonts w:asciiTheme="majorHAnsi" w:hAnsiTheme="majorHAnsi"/>
              <w:i/>
              <w:iCs/>
              <w:noProof/>
            </w:rPr>
            <w:fldChar w:fldCharType="end"/>
          </w:r>
        </w:p>
      </w:tc>
    </w:tr>
  </w:tbl>
  <w:p w:rsidR="00B414EE" w:rsidRDefault="00B414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77AA"/>
    <w:multiLevelType w:val="hybridMultilevel"/>
    <w:tmpl w:val="32BA643C"/>
    <w:lvl w:ilvl="0" w:tplc="C3C86510">
      <w:start w:val="1"/>
      <w:numFmt w:val="decimal"/>
      <w:lvlText w:val="%1-"/>
      <w:lvlJc w:val="left"/>
      <w:pPr>
        <w:ind w:left="360" w:hanging="360"/>
      </w:pPr>
      <w:rPr>
        <w:rFonts w:cs="Arabic Typesetting"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A72817"/>
    <w:multiLevelType w:val="hybridMultilevel"/>
    <w:tmpl w:val="79E006F2"/>
    <w:lvl w:ilvl="0" w:tplc="EA1CE29C">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B3ADA"/>
    <w:multiLevelType w:val="hybridMultilevel"/>
    <w:tmpl w:val="1B2EF6CA"/>
    <w:lvl w:ilvl="0" w:tplc="E7042476">
      <w:start w:val="1"/>
      <w:numFmt w:val="decimal"/>
      <w:lvlText w:val="%1-"/>
      <w:lvlJc w:val="left"/>
      <w:pPr>
        <w:ind w:left="360" w:hanging="360"/>
      </w:pPr>
      <w:rPr>
        <w:rFonts w:cs="Arabic Typesetting"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32200"/>
    <w:multiLevelType w:val="hybridMultilevel"/>
    <w:tmpl w:val="2BC0DE14"/>
    <w:lvl w:ilvl="0" w:tplc="C3C86510">
      <w:start w:val="1"/>
      <w:numFmt w:val="decimal"/>
      <w:lvlText w:val="%1-"/>
      <w:lvlJc w:val="left"/>
      <w:pPr>
        <w:ind w:left="360" w:hanging="360"/>
      </w:pPr>
      <w:rPr>
        <w:rFonts w:cs="Arabic Typesetting"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347689"/>
    <w:multiLevelType w:val="hybridMultilevel"/>
    <w:tmpl w:val="5762D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420CB0"/>
    <w:multiLevelType w:val="hybridMultilevel"/>
    <w:tmpl w:val="DFA686AA"/>
    <w:lvl w:ilvl="0" w:tplc="AD2AB34A">
      <w:start w:val="1"/>
      <w:numFmt w:val="decimal"/>
      <w:lvlText w:val="%1-"/>
      <w:lvlJc w:val="left"/>
      <w:pPr>
        <w:ind w:left="360" w:hanging="360"/>
      </w:pPr>
      <w:rPr>
        <w:rFonts w:cs="Arabic Typesetting" w:hint="default"/>
        <w:b/>
        <w:bCs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891B50"/>
    <w:multiLevelType w:val="hybridMultilevel"/>
    <w:tmpl w:val="27069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E35CCF"/>
    <w:multiLevelType w:val="hybridMultilevel"/>
    <w:tmpl w:val="6D048BD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F87DBD"/>
    <w:multiLevelType w:val="hybridMultilevel"/>
    <w:tmpl w:val="1990300C"/>
    <w:lvl w:ilvl="0" w:tplc="EA1CE29C">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0974F7"/>
    <w:multiLevelType w:val="hybridMultilevel"/>
    <w:tmpl w:val="FF3A030C"/>
    <w:lvl w:ilvl="0" w:tplc="A858E8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FD139D"/>
    <w:multiLevelType w:val="hybridMultilevel"/>
    <w:tmpl w:val="53149B98"/>
    <w:lvl w:ilvl="0" w:tplc="21725F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602774"/>
    <w:multiLevelType w:val="hybridMultilevel"/>
    <w:tmpl w:val="04B272D2"/>
    <w:lvl w:ilvl="0" w:tplc="21725F10">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165D48"/>
    <w:multiLevelType w:val="hybridMultilevel"/>
    <w:tmpl w:val="48F2F84E"/>
    <w:lvl w:ilvl="0" w:tplc="EA1CE29C">
      <w:start w:val="1"/>
      <w:numFmt w:val="bullet"/>
      <w:lvlText w:val=""/>
      <w:lvlJc w:val="left"/>
      <w:pPr>
        <w:ind w:left="720" w:hanging="360"/>
      </w:pPr>
      <w:rPr>
        <w:rFonts w:ascii="Symbol" w:hAnsi="Symbol" w:hint="default"/>
      </w:rPr>
    </w:lvl>
    <w:lvl w:ilvl="1" w:tplc="21725F10">
      <w:start w:val="1"/>
      <w:numFmt w:val="bullet"/>
      <w:lvlText w:val=""/>
      <w:lvlJc w:val="left"/>
      <w:pPr>
        <w:ind w:left="1440" w:hanging="360"/>
      </w:pPr>
      <w:rPr>
        <w:rFonts w:ascii="Symbol" w:hAnsi="Symbol"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4F38CB"/>
    <w:multiLevelType w:val="hybridMultilevel"/>
    <w:tmpl w:val="C92E77FE"/>
    <w:lvl w:ilvl="0" w:tplc="EA1CE29C">
      <w:start w:val="1"/>
      <w:numFmt w:val="bullet"/>
      <w:lvlText w:val=""/>
      <w:lvlJc w:val="left"/>
      <w:pPr>
        <w:ind w:left="720" w:hanging="360"/>
      </w:pPr>
      <w:rPr>
        <w:rFonts w:ascii="Symbol" w:hAnsi="Symbol" w:hint="default"/>
      </w:rPr>
    </w:lvl>
    <w:lvl w:ilvl="1" w:tplc="21725F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9C2F8A"/>
    <w:multiLevelType w:val="hybridMultilevel"/>
    <w:tmpl w:val="DD3CFB60"/>
    <w:lvl w:ilvl="0" w:tplc="21725F10">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1E39266F"/>
    <w:multiLevelType w:val="hybridMultilevel"/>
    <w:tmpl w:val="6C3CB27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DF0C74"/>
    <w:multiLevelType w:val="hybridMultilevel"/>
    <w:tmpl w:val="00864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067CF6"/>
    <w:multiLevelType w:val="hybridMultilevel"/>
    <w:tmpl w:val="DD409828"/>
    <w:lvl w:ilvl="0" w:tplc="D6F4F2C8">
      <w:start w:val="1"/>
      <w:numFmt w:val="decimal"/>
      <w:lvlText w:val="%1-"/>
      <w:lvlJc w:val="left"/>
      <w:pPr>
        <w:ind w:left="360" w:hanging="360"/>
      </w:pPr>
      <w:rPr>
        <w:rFonts w:cs="Arabic Typesetting" w:hint="default"/>
        <w:b/>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42E2DC9"/>
    <w:multiLevelType w:val="hybridMultilevel"/>
    <w:tmpl w:val="C652F48E"/>
    <w:lvl w:ilvl="0" w:tplc="21725F10">
      <w:start w:val="1"/>
      <w:numFmt w:val="bullet"/>
      <w:lvlText w:val=""/>
      <w:lvlJc w:val="left"/>
      <w:pPr>
        <w:ind w:left="720" w:hanging="360"/>
      </w:pPr>
      <w:rPr>
        <w:rFonts w:ascii="Symbol" w:hAnsi="Symbol" w:hint="default"/>
      </w:rPr>
    </w:lvl>
    <w:lvl w:ilvl="1" w:tplc="21725F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F63146"/>
    <w:multiLevelType w:val="hybridMultilevel"/>
    <w:tmpl w:val="332432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3933CD5"/>
    <w:multiLevelType w:val="hybridMultilevel"/>
    <w:tmpl w:val="DC261D44"/>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36F47A44"/>
    <w:multiLevelType w:val="hybridMultilevel"/>
    <w:tmpl w:val="5B80B8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7E92CEC"/>
    <w:multiLevelType w:val="hybridMultilevel"/>
    <w:tmpl w:val="53F43554"/>
    <w:lvl w:ilvl="0" w:tplc="C674CD54">
      <w:start w:val="1"/>
      <w:numFmt w:val="lowerLetter"/>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1076643"/>
    <w:multiLevelType w:val="hybridMultilevel"/>
    <w:tmpl w:val="32BA643C"/>
    <w:lvl w:ilvl="0" w:tplc="C3C86510">
      <w:start w:val="1"/>
      <w:numFmt w:val="decimal"/>
      <w:lvlText w:val="%1-"/>
      <w:lvlJc w:val="left"/>
      <w:pPr>
        <w:ind w:left="360" w:hanging="360"/>
      </w:pPr>
      <w:rPr>
        <w:rFonts w:cs="Arabic Typesetting"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C953F1"/>
    <w:multiLevelType w:val="hybridMultilevel"/>
    <w:tmpl w:val="018CB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F917B0"/>
    <w:multiLevelType w:val="hybridMultilevel"/>
    <w:tmpl w:val="058C12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4D56D13"/>
    <w:multiLevelType w:val="hybridMultilevel"/>
    <w:tmpl w:val="88709E2E"/>
    <w:lvl w:ilvl="0" w:tplc="C3C86510">
      <w:start w:val="1"/>
      <w:numFmt w:val="decimal"/>
      <w:lvlText w:val="%1-"/>
      <w:lvlJc w:val="left"/>
      <w:pPr>
        <w:ind w:left="720" w:hanging="360"/>
      </w:pPr>
      <w:rPr>
        <w:rFonts w:cs="Arabic Typesetting"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476E51"/>
    <w:multiLevelType w:val="hybridMultilevel"/>
    <w:tmpl w:val="123ABDE8"/>
    <w:lvl w:ilvl="0" w:tplc="E7042476">
      <w:start w:val="1"/>
      <w:numFmt w:val="decimal"/>
      <w:lvlText w:val="%1-"/>
      <w:lvlJc w:val="left"/>
      <w:pPr>
        <w:ind w:left="360" w:hanging="360"/>
      </w:pPr>
      <w:rPr>
        <w:rFonts w:cs="Arabic Typesetting" w:hint="default"/>
        <w:b/>
        <w:bCs/>
        <w:i w:val="0"/>
      </w:rPr>
    </w:lvl>
    <w:lvl w:ilvl="1" w:tplc="04090019">
      <w:start w:val="1"/>
      <w:numFmt w:val="lowerLetter"/>
      <w:lvlText w:val="%2."/>
      <w:lvlJc w:val="left"/>
      <w:pPr>
        <w:ind w:left="1080" w:hanging="360"/>
      </w:pPr>
    </w:lvl>
    <w:lvl w:ilvl="2" w:tplc="1280F91E">
      <w:start w:val="1"/>
      <w:numFmt w:val="decimal"/>
      <w:lvlText w:val="%3."/>
      <w:lvlJc w:val="left"/>
      <w:pPr>
        <w:ind w:left="198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5516CF1"/>
    <w:multiLevelType w:val="hybridMultilevel"/>
    <w:tmpl w:val="CAC6B096"/>
    <w:lvl w:ilvl="0" w:tplc="0409000F">
      <w:start w:val="1"/>
      <w:numFmt w:val="decimal"/>
      <w:lvlText w:val="%1."/>
      <w:lvlJc w:val="left"/>
      <w:pPr>
        <w:ind w:left="1353" w:hanging="360"/>
      </w:p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nsid w:val="45A81019"/>
    <w:multiLevelType w:val="hybridMultilevel"/>
    <w:tmpl w:val="52E69A3C"/>
    <w:lvl w:ilvl="0" w:tplc="C3C86510">
      <w:start w:val="1"/>
      <w:numFmt w:val="decimal"/>
      <w:lvlText w:val="%1-"/>
      <w:lvlJc w:val="left"/>
      <w:pPr>
        <w:ind w:left="360" w:hanging="360"/>
      </w:pPr>
      <w:rPr>
        <w:rFonts w:cs="Arabic Typesetting"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BE37C05"/>
    <w:multiLevelType w:val="hybridMultilevel"/>
    <w:tmpl w:val="3446C698"/>
    <w:lvl w:ilvl="0" w:tplc="E7042476">
      <w:start w:val="1"/>
      <w:numFmt w:val="decimal"/>
      <w:lvlText w:val="%1-"/>
      <w:lvlJc w:val="left"/>
      <w:pPr>
        <w:ind w:left="360" w:hanging="360"/>
      </w:pPr>
      <w:rPr>
        <w:rFonts w:cs="Arabic Typesetting"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D97817"/>
    <w:multiLevelType w:val="hybridMultilevel"/>
    <w:tmpl w:val="ACC0CF98"/>
    <w:lvl w:ilvl="0" w:tplc="EA1CE29C">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56E2602F"/>
    <w:multiLevelType w:val="hybridMultilevel"/>
    <w:tmpl w:val="86E458D0"/>
    <w:lvl w:ilvl="0" w:tplc="4086D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6D2929"/>
    <w:multiLevelType w:val="hybridMultilevel"/>
    <w:tmpl w:val="AA503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E74806"/>
    <w:multiLevelType w:val="hybridMultilevel"/>
    <w:tmpl w:val="602E4CDE"/>
    <w:lvl w:ilvl="0" w:tplc="33687682">
      <w:start w:val="1"/>
      <w:numFmt w:val="decimal"/>
      <w:lvlText w:val="%1-"/>
      <w:lvlJc w:val="left"/>
      <w:pPr>
        <w:ind w:left="720" w:hanging="360"/>
      </w:pPr>
      <w:rPr>
        <w:rFonts w:cs="Arabic Typesetting" w:hint="default"/>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DC52DE"/>
    <w:multiLevelType w:val="hybridMultilevel"/>
    <w:tmpl w:val="45624EE4"/>
    <w:lvl w:ilvl="0" w:tplc="0409000F">
      <w:start w:val="1"/>
      <w:numFmt w:val="decimal"/>
      <w:lvlText w:val="%1."/>
      <w:lvlJc w:val="left"/>
      <w:pPr>
        <w:ind w:left="360" w:hanging="360"/>
      </w:pPr>
    </w:lvl>
    <w:lvl w:ilvl="1" w:tplc="AF840B3C">
      <w:start w:val="1"/>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37E2C0B"/>
    <w:multiLevelType w:val="hybridMultilevel"/>
    <w:tmpl w:val="A4A04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3C193F"/>
    <w:multiLevelType w:val="hybridMultilevel"/>
    <w:tmpl w:val="D1842BE4"/>
    <w:lvl w:ilvl="0" w:tplc="C3C86510">
      <w:start w:val="1"/>
      <w:numFmt w:val="decimal"/>
      <w:lvlText w:val="%1-"/>
      <w:lvlJc w:val="left"/>
      <w:pPr>
        <w:ind w:left="360" w:hanging="360"/>
      </w:pPr>
      <w:rPr>
        <w:rFonts w:cs="Arabic Typesetting"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3072EE6"/>
    <w:multiLevelType w:val="hybridMultilevel"/>
    <w:tmpl w:val="81B8FE62"/>
    <w:lvl w:ilvl="0" w:tplc="EA1CE29C">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C963B1"/>
    <w:multiLevelType w:val="hybridMultilevel"/>
    <w:tmpl w:val="000077C0"/>
    <w:lvl w:ilvl="0" w:tplc="7AB01BA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1661AD"/>
    <w:multiLevelType w:val="hybridMultilevel"/>
    <w:tmpl w:val="682CD9D6"/>
    <w:lvl w:ilvl="0" w:tplc="EA1CE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0"/>
  </w:num>
  <w:num w:numId="3">
    <w:abstractNumId w:val="37"/>
  </w:num>
  <w:num w:numId="4">
    <w:abstractNumId w:val="29"/>
  </w:num>
  <w:num w:numId="5">
    <w:abstractNumId w:val="3"/>
  </w:num>
  <w:num w:numId="6">
    <w:abstractNumId w:val="33"/>
  </w:num>
  <w:num w:numId="7">
    <w:abstractNumId w:val="18"/>
  </w:num>
  <w:num w:numId="8">
    <w:abstractNumId w:val="13"/>
  </w:num>
  <w:num w:numId="9">
    <w:abstractNumId w:val="14"/>
  </w:num>
  <w:num w:numId="10">
    <w:abstractNumId w:val="31"/>
  </w:num>
  <w:num w:numId="11">
    <w:abstractNumId w:val="12"/>
  </w:num>
  <w:num w:numId="12">
    <w:abstractNumId w:val="20"/>
  </w:num>
  <w:num w:numId="13">
    <w:abstractNumId w:val="35"/>
  </w:num>
  <w:num w:numId="14">
    <w:abstractNumId w:val="11"/>
  </w:num>
  <w:num w:numId="15">
    <w:abstractNumId w:val="21"/>
  </w:num>
  <w:num w:numId="16">
    <w:abstractNumId w:val="6"/>
  </w:num>
  <w:num w:numId="17">
    <w:abstractNumId w:val="23"/>
  </w:num>
  <w:num w:numId="18">
    <w:abstractNumId w:val="0"/>
  </w:num>
  <w:num w:numId="19">
    <w:abstractNumId w:val="15"/>
  </w:num>
  <w:num w:numId="20">
    <w:abstractNumId w:val="19"/>
  </w:num>
  <w:num w:numId="21">
    <w:abstractNumId w:val="39"/>
  </w:num>
  <w:num w:numId="22">
    <w:abstractNumId w:val="22"/>
  </w:num>
  <w:num w:numId="23">
    <w:abstractNumId w:val="26"/>
  </w:num>
  <w:num w:numId="24">
    <w:abstractNumId w:val="32"/>
  </w:num>
  <w:num w:numId="25">
    <w:abstractNumId w:val="5"/>
  </w:num>
  <w:num w:numId="26">
    <w:abstractNumId w:val="7"/>
  </w:num>
  <w:num w:numId="27">
    <w:abstractNumId w:val="27"/>
  </w:num>
  <w:num w:numId="28">
    <w:abstractNumId w:val="30"/>
  </w:num>
  <w:num w:numId="29">
    <w:abstractNumId w:val="9"/>
  </w:num>
  <w:num w:numId="30">
    <w:abstractNumId w:val="34"/>
  </w:num>
  <w:num w:numId="31">
    <w:abstractNumId w:val="2"/>
  </w:num>
  <w:num w:numId="32">
    <w:abstractNumId w:val="10"/>
  </w:num>
  <w:num w:numId="33">
    <w:abstractNumId w:val="36"/>
  </w:num>
  <w:num w:numId="34">
    <w:abstractNumId w:val="28"/>
  </w:num>
  <w:num w:numId="35">
    <w:abstractNumId w:val="24"/>
  </w:num>
  <w:num w:numId="36">
    <w:abstractNumId w:val="25"/>
  </w:num>
  <w:num w:numId="37">
    <w:abstractNumId w:val="16"/>
  </w:num>
  <w:num w:numId="38">
    <w:abstractNumId w:val="1"/>
  </w:num>
  <w:num w:numId="39">
    <w:abstractNumId w:val="8"/>
  </w:num>
  <w:num w:numId="40">
    <w:abstractNumId w:val="38"/>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D6D"/>
    <w:rsid w:val="00002226"/>
    <w:rsid w:val="000133F7"/>
    <w:rsid w:val="00031637"/>
    <w:rsid w:val="00031C01"/>
    <w:rsid w:val="00065ABB"/>
    <w:rsid w:val="00070065"/>
    <w:rsid w:val="00071D61"/>
    <w:rsid w:val="00076820"/>
    <w:rsid w:val="00084251"/>
    <w:rsid w:val="000D295C"/>
    <w:rsid w:val="000D4711"/>
    <w:rsid w:val="000E233B"/>
    <w:rsid w:val="000E6F80"/>
    <w:rsid w:val="000F34A9"/>
    <w:rsid w:val="000F6289"/>
    <w:rsid w:val="0011266C"/>
    <w:rsid w:val="001202EB"/>
    <w:rsid w:val="00137EEA"/>
    <w:rsid w:val="001410DB"/>
    <w:rsid w:val="00143B72"/>
    <w:rsid w:val="00181053"/>
    <w:rsid w:val="001911B6"/>
    <w:rsid w:val="001B5B9C"/>
    <w:rsid w:val="001B7CD4"/>
    <w:rsid w:val="001E52FE"/>
    <w:rsid w:val="001F0ABE"/>
    <w:rsid w:val="0023225B"/>
    <w:rsid w:val="002C5DB2"/>
    <w:rsid w:val="002C6490"/>
    <w:rsid w:val="002E011B"/>
    <w:rsid w:val="002F03EF"/>
    <w:rsid w:val="002F1D0C"/>
    <w:rsid w:val="00304ACA"/>
    <w:rsid w:val="00322477"/>
    <w:rsid w:val="00323E0B"/>
    <w:rsid w:val="003267E6"/>
    <w:rsid w:val="00326EBD"/>
    <w:rsid w:val="003332FC"/>
    <w:rsid w:val="003573B2"/>
    <w:rsid w:val="00381004"/>
    <w:rsid w:val="00382D65"/>
    <w:rsid w:val="003B4BEB"/>
    <w:rsid w:val="003C252E"/>
    <w:rsid w:val="0041479A"/>
    <w:rsid w:val="004324B4"/>
    <w:rsid w:val="00435DB4"/>
    <w:rsid w:val="004407FE"/>
    <w:rsid w:val="004511C3"/>
    <w:rsid w:val="00457B00"/>
    <w:rsid w:val="00464442"/>
    <w:rsid w:val="00481456"/>
    <w:rsid w:val="004D70D9"/>
    <w:rsid w:val="004E2666"/>
    <w:rsid w:val="004F1B11"/>
    <w:rsid w:val="005236F8"/>
    <w:rsid w:val="0052477C"/>
    <w:rsid w:val="005549CF"/>
    <w:rsid w:val="005A2B59"/>
    <w:rsid w:val="005A5211"/>
    <w:rsid w:val="005A6CA0"/>
    <w:rsid w:val="005B01AE"/>
    <w:rsid w:val="005B1EFE"/>
    <w:rsid w:val="005B4270"/>
    <w:rsid w:val="005C06C7"/>
    <w:rsid w:val="005D5C40"/>
    <w:rsid w:val="005D6FED"/>
    <w:rsid w:val="005E6877"/>
    <w:rsid w:val="005F3454"/>
    <w:rsid w:val="00601B8A"/>
    <w:rsid w:val="00602EDB"/>
    <w:rsid w:val="00621843"/>
    <w:rsid w:val="0062435F"/>
    <w:rsid w:val="00625706"/>
    <w:rsid w:val="00635034"/>
    <w:rsid w:val="00665660"/>
    <w:rsid w:val="00665E1D"/>
    <w:rsid w:val="006B1626"/>
    <w:rsid w:val="006F5BAB"/>
    <w:rsid w:val="00707D56"/>
    <w:rsid w:val="0071060D"/>
    <w:rsid w:val="00724FD7"/>
    <w:rsid w:val="007364E2"/>
    <w:rsid w:val="00746728"/>
    <w:rsid w:val="007502C3"/>
    <w:rsid w:val="007B54BD"/>
    <w:rsid w:val="007E44BF"/>
    <w:rsid w:val="0080768E"/>
    <w:rsid w:val="00814431"/>
    <w:rsid w:val="00814764"/>
    <w:rsid w:val="008204C9"/>
    <w:rsid w:val="0082154E"/>
    <w:rsid w:val="0083144A"/>
    <w:rsid w:val="00837EBC"/>
    <w:rsid w:val="0084068D"/>
    <w:rsid w:val="00885711"/>
    <w:rsid w:val="00887406"/>
    <w:rsid w:val="00907053"/>
    <w:rsid w:val="00917952"/>
    <w:rsid w:val="00927BCD"/>
    <w:rsid w:val="00983C00"/>
    <w:rsid w:val="009C2819"/>
    <w:rsid w:val="00A05296"/>
    <w:rsid w:val="00A1522D"/>
    <w:rsid w:val="00A5096C"/>
    <w:rsid w:val="00A76DC8"/>
    <w:rsid w:val="00AA7688"/>
    <w:rsid w:val="00AB27B4"/>
    <w:rsid w:val="00B11889"/>
    <w:rsid w:val="00B1331E"/>
    <w:rsid w:val="00B3231D"/>
    <w:rsid w:val="00B40F7D"/>
    <w:rsid w:val="00B414EE"/>
    <w:rsid w:val="00B43E20"/>
    <w:rsid w:val="00B454CD"/>
    <w:rsid w:val="00B5047E"/>
    <w:rsid w:val="00B83024"/>
    <w:rsid w:val="00BA352F"/>
    <w:rsid w:val="00BC2308"/>
    <w:rsid w:val="00BD0488"/>
    <w:rsid w:val="00BD296D"/>
    <w:rsid w:val="00C16C6F"/>
    <w:rsid w:val="00C358F5"/>
    <w:rsid w:val="00C44351"/>
    <w:rsid w:val="00C44C08"/>
    <w:rsid w:val="00C66951"/>
    <w:rsid w:val="00C757A7"/>
    <w:rsid w:val="00C75C51"/>
    <w:rsid w:val="00C85051"/>
    <w:rsid w:val="00C85441"/>
    <w:rsid w:val="00C86171"/>
    <w:rsid w:val="00CC5F28"/>
    <w:rsid w:val="00CE3476"/>
    <w:rsid w:val="00D264C6"/>
    <w:rsid w:val="00DA611C"/>
    <w:rsid w:val="00DB65D8"/>
    <w:rsid w:val="00DF3B91"/>
    <w:rsid w:val="00E1202A"/>
    <w:rsid w:val="00E14708"/>
    <w:rsid w:val="00E24B71"/>
    <w:rsid w:val="00E72973"/>
    <w:rsid w:val="00E963D5"/>
    <w:rsid w:val="00EA0F34"/>
    <w:rsid w:val="00ED6551"/>
    <w:rsid w:val="00EE0D6D"/>
    <w:rsid w:val="00EF3088"/>
    <w:rsid w:val="00EF78DF"/>
    <w:rsid w:val="00F051C3"/>
    <w:rsid w:val="00F41450"/>
    <w:rsid w:val="00F707B3"/>
    <w:rsid w:val="00F771B3"/>
    <w:rsid w:val="00F878DB"/>
    <w:rsid w:val="00FB324E"/>
    <w:rsid w:val="00FC7E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Bidi" w:eastAsiaTheme="minorHAnsi" w:hAnsiTheme="majorBidi" w:cstheme="majorBidi"/>
        <w:sz w:val="24"/>
        <w:szCs w:val="24"/>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1626"/>
    <w:pPr>
      <w:tabs>
        <w:tab w:val="center" w:pos="4320"/>
        <w:tab w:val="right" w:pos="8640"/>
      </w:tabs>
      <w:spacing w:line="240" w:lineRule="auto"/>
    </w:pPr>
  </w:style>
  <w:style w:type="character" w:customStyle="1" w:styleId="HeaderChar">
    <w:name w:val="Header Char"/>
    <w:basedOn w:val="DefaultParagraphFont"/>
    <w:link w:val="Header"/>
    <w:uiPriority w:val="99"/>
    <w:rsid w:val="006B1626"/>
  </w:style>
  <w:style w:type="paragraph" w:styleId="Footer">
    <w:name w:val="footer"/>
    <w:basedOn w:val="Normal"/>
    <w:link w:val="FooterChar"/>
    <w:uiPriority w:val="99"/>
    <w:unhideWhenUsed/>
    <w:rsid w:val="006B1626"/>
    <w:pPr>
      <w:tabs>
        <w:tab w:val="center" w:pos="4320"/>
        <w:tab w:val="right" w:pos="8640"/>
      </w:tabs>
      <w:spacing w:line="240" w:lineRule="auto"/>
    </w:pPr>
  </w:style>
  <w:style w:type="character" w:customStyle="1" w:styleId="FooterChar">
    <w:name w:val="Footer Char"/>
    <w:basedOn w:val="DefaultParagraphFont"/>
    <w:link w:val="Footer"/>
    <w:uiPriority w:val="99"/>
    <w:rsid w:val="006B1626"/>
  </w:style>
  <w:style w:type="paragraph" w:styleId="ListParagraph">
    <w:name w:val="List Paragraph"/>
    <w:basedOn w:val="Normal"/>
    <w:uiPriority w:val="34"/>
    <w:qFormat/>
    <w:rsid w:val="00C16C6F"/>
    <w:pPr>
      <w:ind w:left="720"/>
      <w:contextualSpacing/>
    </w:pPr>
  </w:style>
  <w:style w:type="paragraph" w:styleId="BalloonText">
    <w:name w:val="Balloon Text"/>
    <w:basedOn w:val="Normal"/>
    <w:link w:val="BalloonTextChar"/>
    <w:uiPriority w:val="99"/>
    <w:semiHidden/>
    <w:unhideWhenUsed/>
    <w:rsid w:val="004F1B1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B11"/>
    <w:rPr>
      <w:rFonts w:ascii="Tahoma" w:hAnsi="Tahoma" w:cs="Tahoma"/>
      <w:sz w:val="16"/>
      <w:szCs w:val="16"/>
    </w:rPr>
  </w:style>
  <w:style w:type="paragraph" w:styleId="NoSpacing">
    <w:name w:val="No Spacing"/>
    <w:link w:val="NoSpacingChar"/>
    <w:uiPriority w:val="1"/>
    <w:qFormat/>
    <w:rsid w:val="00AB27B4"/>
    <w:pPr>
      <w:spacing w:line="240" w:lineRule="auto"/>
    </w:pPr>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AB27B4"/>
    <w:rPr>
      <w:rFonts w:asciiTheme="minorHAnsi" w:eastAsiaTheme="minorEastAsia" w:hAnsiTheme="minorHAnsi" w:cstheme="minorBidi"/>
      <w:sz w:val="22"/>
      <w:szCs w:val="22"/>
      <w:lang w:eastAsia="ja-JP"/>
    </w:rPr>
  </w:style>
  <w:style w:type="table" w:styleId="TableGrid">
    <w:name w:val="Table Grid"/>
    <w:basedOn w:val="TableNormal"/>
    <w:uiPriority w:val="59"/>
    <w:rsid w:val="003B4B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6">
    <w:name w:val="Light List Accent 6"/>
    <w:basedOn w:val="TableNormal"/>
    <w:uiPriority w:val="61"/>
    <w:rsid w:val="00B454CD"/>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Bidi" w:eastAsiaTheme="minorHAnsi" w:hAnsiTheme="majorBidi" w:cstheme="majorBidi"/>
        <w:sz w:val="24"/>
        <w:szCs w:val="24"/>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1626"/>
    <w:pPr>
      <w:tabs>
        <w:tab w:val="center" w:pos="4320"/>
        <w:tab w:val="right" w:pos="8640"/>
      </w:tabs>
      <w:spacing w:line="240" w:lineRule="auto"/>
    </w:pPr>
  </w:style>
  <w:style w:type="character" w:customStyle="1" w:styleId="HeaderChar">
    <w:name w:val="Header Char"/>
    <w:basedOn w:val="DefaultParagraphFont"/>
    <w:link w:val="Header"/>
    <w:uiPriority w:val="99"/>
    <w:rsid w:val="006B1626"/>
  </w:style>
  <w:style w:type="paragraph" w:styleId="Footer">
    <w:name w:val="footer"/>
    <w:basedOn w:val="Normal"/>
    <w:link w:val="FooterChar"/>
    <w:uiPriority w:val="99"/>
    <w:unhideWhenUsed/>
    <w:rsid w:val="006B1626"/>
    <w:pPr>
      <w:tabs>
        <w:tab w:val="center" w:pos="4320"/>
        <w:tab w:val="right" w:pos="8640"/>
      </w:tabs>
      <w:spacing w:line="240" w:lineRule="auto"/>
    </w:pPr>
  </w:style>
  <w:style w:type="character" w:customStyle="1" w:styleId="FooterChar">
    <w:name w:val="Footer Char"/>
    <w:basedOn w:val="DefaultParagraphFont"/>
    <w:link w:val="Footer"/>
    <w:uiPriority w:val="99"/>
    <w:rsid w:val="006B1626"/>
  </w:style>
  <w:style w:type="paragraph" w:styleId="ListParagraph">
    <w:name w:val="List Paragraph"/>
    <w:basedOn w:val="Normal"/>
    <w:uiPriority w:val="34"/>
    <w:qFormat/>
    <w:rsid w:val="00C16C6F"/>
    <w:pPr>
      <w:ind w:left="720"/>
      <w:contextualSpacing/>
    </w:pPr>
  </w:style>
  <w:style w:type="paragraph" w:styleId="BalloonText">
    <w:name w:val="Balloon Text"/>
    <w:basedOn w:val="Normal"/>
    <w:link w:val="BalloonTextChar"/>
    <w:uiPriority w:val="99"/>
    <w:semiHidden/>
    <w:unhideWhenUsed/>
    <w:rsid w:val="004F1B1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B11"/>
    <w:rPr>
      <w:rFonts w:ascii="Tahoma" w:hAnsi="Tahoma" w:cs="Tahoma"/>
      <w:sz w:val="16"/>
      <w:szCs w:val="16"/>
    </w:rPr>
  </w:style>
  <w:style w:type="paragraph" w:styleId="NoSpacing">
    <w:name w:val="No Spacing"/>
    <w:link w:val="NoSpacingChar"/>
    <w:uiPriority w:val="1"/>
    <w:qFormat/>
    <w:rsid w:val="00AB27B4"/>
    <w:pPr>
      <w:spacing w:line="240" w:lineRule="auto"/>
    </w:pPr>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AB27B4"/>
    <w:rPr>
      <w:rFonts w:asciiTheme="minorHAnsi" w:eastAsiaTheme="minorEastAsia" w:hAnsiTheme="minorHAnsi" w:cstheme="minorBidi"/>
      <w:sz w:val="22"/>
      <w:szCs w:val="22"/>
      <w:lang w:eastAsia="ja-JP"/>
    </w:rPr>
  </w:style>
  <w:style w:type="table" w:styleId="TableGrid">
    <w:name w:val="Table Grid"/>
    <w:basedOn w:val="TableNormal"/>
    <w:uiPriority w:val="59"/>
    <w:rsid w:val="003B4B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6">
    <w:name w:val="Light List Accent 6"/>
    <w:basedOn w:val="TableNormal"/>
    <w:uiPriority w:val="61"/>
    <w:rsid w:val="00B454CD"/>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09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23B79FD33C64A6BA2B337133EE3393B"/>
        <w:category>
          <w:name w:val="General"/>
          <w:gallery w:val="placeholder"/>
        </w:category>
        <w:types>
          <w:type w:val="bbPlcHdr"/>
        </w:types>
        <w:behaviors>
          <w:behavior w:val="content"/>
        </w:behaviors>
        <w:guid w:val="{BA092E2B-0B1F-4075-BCB4-EA4CA590A12E}"/>
      </w:docPartPr>
      <w:docPartBody>
        <w:p w:rsidR="00D93A6E" w:rsidRDefault="00E85103" w:rsidP="00E85103">
          <w:pPr>
            <w:pStyle w:val="A23B79FD33C64A6BA2B337133EE3393B"/>
          </w:pPr>
          <w:r>
            <w:rPr>
              <w:b/>
              <w:bC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Pro-Bold">
    <w:panose1 w:val="00000000000000000000"/>
    <w:charset w:val="B2"/>
    <w:family w:val="swiss"/>
    <w:notTrueType/>
    <w:pitch w:val="default"/>
    <w:sig w:usb0="00002001" w:usb1="00000000" w:usb2="00000000" w:usb3="00000000" w:csb0="00000040" w:csb1="00000000"/>
  </w:font>
  <w:font w:name="Monotype Corsiva">
    <w:panose1 w:val="03010101010201010101"/>
    <w:charset w:val="00"/>
    <w:family w:val="script"/>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103"/>
    <w:rsid w:val="0048771C"/>
    <w:rsid w:val="007258F3"/>
    <w:rsid w:val="0091507E"/>
    <w:rsid w:val="009F45E3"/>
    <w:rsid w:val="00B451C6"/>
    <w:rsid w:val="00BF77BA"/>
    <w:rsid w:val="00D93A6E"/>
    <w:rsid w:val="00DB5387"/>
    <w:rsid w:val="00E85103"/>
    <w:rsid w:val="00EE6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85899E97BB4A90A6672C9973597B23">
    <w:name w:val="F285899E97BB4A90A6672C9973597B23"/>
    <w:rsid w:val="00E85103"/>
  </w:style>
  <w:style w:type="paragraph" w:customStyle="1" w:styleId="171841D1AF18400FBD0C6DB79379AE5C">
    <w:name w:val="171841D1AF18400FBD0C6DB79379AE5C"/>
    <w:rsid w:val="00E85103"/>
  </w:style>
  <w:style w:type="paragraph" w:customStyle="1" w:styleId="A23B79FD33C64A6BA2B337133EE3393B">
    <w:name w:val="A23B79FD33C64A6BA2B337133EE3393B"/>
    <w:rsid w:val="00E85103"/>
  </w:style>
  <w:style w:type="paragraph" w:customStyle="1" w:styleId="C1403B2EE939407C9B4BE87BC70049F4">
    <w:name w:val="C1403B2EE939407C9B4BE87BC70049F4"/>
    <w:rsid w:val="00E851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85899E97BB4A90A6672C9973597B23">
    <w:name w:val="F285899E97BB4A90A6672C9973597B23"/>
    <w:rsid w:val="00E85103"/>
  </w:style>
  <w:style w:type="paragraph" w:customStyle="1" w:styleId="171841D1AF18400FBD0C6DB79379AE5C">
    <w:name w:val="171841D1AF18400FBD0C6DB79379AE5C"/>
    <w:rsid w:val="00E85103"/>
  </w:style>
  <w:style w:type="paragraph" w:customStyle="1" w:styleId="A23B79FD33C64A6BA2B337133EE3393B">
    <w:name w:val="A23B79FD33C64A6BA2B337133EE3393B"/>
    <w:rsid w:val="00E85103"/>
  </w:style>
  <w:style w:type="paragraph" w:customStyle="1" w:styleId="C1403B2EE939407C9B4BE87BC70049F4">
    <w:name w:val="C1403B2EE939407C9B4BE87BC70049F4"/>
    <w:rsid w:val="00E851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AE2C7-91FC-4944-86E6-1CEBC41B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1856</TotalTime>
  <Pages>3</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Dr. Osama Sadiq Al-Aidany</vt:lpstr>
    </vt:vector>
  </TitlesOfParts>
  <Company>Enjoy My Fine Releases.</Company>
  <LinksUpToDate>false</LinksUpToDate>
  <CharactersWithSpaces>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Osama Sadiq Al-Aidany</dc:title>
  <dc:subject/>
  <dc:creator>Osama Sadiq</dc:creator>
  <cp:keywords/>
  <dc:description/>
  <cp:lastModifiedBy>Osama Sadiq</cp:lastModifiedBy>
  <cp:revision>51</cp:revision>
  <cp:lastPrinted>2015-12-22T04:09:00Z</cp:lastPrinted>
  <dcterms:created xsi:type="dcterms:W3CDTF">2015-12-16T17:20:00Z</dcterms:created>
  <dcterms:modified xsi:type="dcterms:W3CDTF">2016-03-09T17:44:00Z</dcterms:modified>
</cp:coreProperties>
</file>