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6A5" w:rsidRPr="008D6B0F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8D6B0F">
        <w:rPr>
          <w:rFonts w:ascii="Times New Roman" w:hAnsi="Times New Roman" w:cs="Times New Roman"/>
          <w:sz w:val="32"/>
          <w:szCs w:val="32"/>
        </w:rPr>
        <w:t>design discharge, fo</w:t>
      </w:r>
      <w:r>
        <w:rPr>
          <w:rFonts w:ascii="Times New Roman" w:hAnsi="Times New Roman" w:cs="Times New Roman"/>
          <w:sz w:val="32"/>
          <w:szCs w:val="32"/>
        </w:rPr>
        <w:t xml:space="preserve">llowing suggested discharge can </w:t>
      </w:r>
      <w:r w:rsidRPr="008D6B0F">
        <w:rPr>
          <w:rFonts w:ascii="Times New Roman" w:hAnsi="Times New Roman" w:cs="Times New Roman"/>
          <w:sz w:val="32"/>
          <w:szCs w:val="32"/>
        </w:rPr>
        <w:t>be considered (Table 4.1).</w:t>
      </w:r>
    </w:p>
    <w:p w:rsidR="003576A5" w:rsidRDefault="003576A5" w:rsidP="0099387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صورة 2" o:spid="_x0000_i1025" type="#_x0000_t75" style="width:508.5pt;height:115.5pt;visibility:visible">
            <v:imagedata r:id="rId7" o:title="" cropbottom="-308f"/>
            <o:lock v:ext="edit" aspectratio="f"/>
          </v:shape>
        </w:pic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6B0F">
        <w:rPr>
          <w:rFonts w:ascii="Times New Roman" w:hAnsi="Times New Roman" w:cs="Times New Roman"/>
          <w:sz w:val="28"/>
          <w:szCs w:val="28"/>
        </w:rPr>
        <w:t xml:space="preserve">Storm water drainage may also infiltrate into sewers. This inflow is difficult to </w:t>
      </w:r>
      <w:r>
        <w:rPr>
          <w:rFonts w:ascii="Times New Roman" w:hAnsi="Times New Roman" w:cs="Times New Roman"/>
          <w:sz w:val="28"/>
          <w:szCs w:val="28"/>
        </w:rPr>
        <w:t xml:space="preserve">calculate. </w:t>
      </w:r>
      <w:r w:rsidRPr="008D6B0F">
        <w:rPr>
          <w:rFonts w:ascii="Times New Roman" w:hAnsi="Times New Roman" w:cs="Times New Roman"/>
          <w:sz w:val="28"/>
          <w:szCs w:val="28"/>
        </w:rPr>
        <w:t>Generally, no extra provision is made for this quantity. This e</w:t>
      </w:r>
      <w:r>
        <w:rPr>
          <w:rFonts w:ascii="Times New Roman" w:hAnsi="Times New Roman" w:cs="Times New Roman"/>
          <w:sz w:val="28"/>
          <w:szCs w:val="28"/>
        </w:rPr>
        <w:t xml:space="preserve">xtra quantity can be taken care </w:t>
      </w:r>
      <w:r w:rsidRPr="008D6B0F">
        <w:rPr>
          <w:rFonts w:ascii="Times New Roman" w:hAnsi="Times New Roman" w:cs="Times New Roman"/>
          <w:sz w:val="28"/>
          <w:szCs w:val="28"/>
        </w:rPr>
        <w:t>of by extra empty space left at the top in the sewers, which are</w:t>
      </w:r>
      <w:r>
        <w:rPr>
          <w:rFonts w:ascii="Times New Roman" w:hAnsi="Times New Roman" w:cs="Times New Roman"/>
          <w:sz w:val="28"/>
          <w:szCs w:val="28"/>
        </w:rPr>
        <w:t xml:space="preserve"> designed for running ¾ full at </w:t>
      </w:r>
      <w:r w:rsidRPr="008D6B0F">
        <w:rPr>
          <w:rFonts w:ascii="Times New Roman" w:hAnsi="Times New Roman" w:cs="Times New Roman"/>
          <w:sz w:val="28"/>
          <w:szCs w:val="28"/>
        </w:rPr>
        <w:t>maximum design discharge.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6A5" w:rsidRPr="00814681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C00000"/>
          <w:sz w:val="32"/>
          <w:szCs w:val="32"/>
        </w:rPr>
      </w:pPr>
      <w:r w:rsidRPr="00814681">
        <w:rPr>
          <w:rFonts w:ascii="Times New Roman" w:hAnsi="Times New Roman" w:cs="Times New Roman"/>
          <w:b/>
          <w:bCs/>
          <w:color w:val="C00000"/>
          <w:sz w:val="32"/>
          <w:szCs w:val="32"/>
        </w:rPr>
        <w:t>c. Subtraction due to water losses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814681">
        <w:rPr>
          <w:rFonts w:ascii="Times New Roman" w:hAnsi="Times New Roman" w:cs="Times New Roman"/>
          <w:sz w:val="32"/>
          <w:szCs w:val="32"/>
        </w:rPr>
        <w:t xml:space="preserve">The water loss, through leakage in water distribution system </w:t>
      </w:r>
      <w:r>
        <w:rPr>
          <w:rFonts w:ascii="Times New Roman" w:hAnsi="Times New Roman" w:cs="Times New Roman"/>
          <w:sz w:val="32"/>
          <w:szCs w:val="32"/>
        </w:rPr>
        <w:t xml:space="preserve">and house connections, does not </w:t>
      </w:r>
      <w:r w:rsidRPr="00814681">
        <w:rPr>
          <w:rFonts w:ascii="Times New Roman" w:hAnsi="Times New Roman" w:cs="Times New Roman"/>
          <w:sz w:val="32"/>
          <w:szCs w:val="32"/>
        </w:rPr>
        <w:t>reach consumers and hence, not appear as sewage.</w:t>
      </w:r>
    </w:p>
    <w:p w:rsidR="003576A5" w:rsidRPr="00814681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576A5" w:rsidRPr="00814681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C00000"/>
          <w:sz w:val="32"/>
          <w:szCs w:val="32"/>
        </w:rPr>
      </w:pPr>
      <w:r w:rsidRPr="00814681">
        <w:rPr>
          <w:rFonts w:ascii="Times New Roman" w:hAnsi="Times New Roman" w:cs="Times New Roman"/>
          <w:b/>
          <w:bCs/>
          <w:color w:val="C00000"/>
          <w:sz w:val="32"/>
          <w:szCs w:val="32"/>
        </w:rPr>
        <w:t>d. Subtraction due to water not entering the sewerage system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814681">
        <w:rPr>
          <w:rFonts w:ascii="Times New Roman" w:hAnsi="Times New Roman" w:cs="Times New Roman"/>
          <w:sz w:val="32"/>
          <w:szCs w:val="32"/>
        </w:rPr>
        <w:t>Certain amount of water is used for such purposes, which may n</w:t>
      </w:r>
      <w:r>
        <w:rPr>
          <w:rFonts w:ascii="Times New Roman" w:hAnsi="Times New Roman" w:cs="Times New Roman"/>
          <w:sz w:val="32"/>
          <w:szCs w:val="32"/>
        </w:rPr>
        <w:t xml:space="preserve">ot generate sewage, e.g. boiler </w:t>
      </w:r>
      <w:r w:rsidRPr="00814681">
        <w:rPr>
          <w:rFonts w:ascii="Times New Roman" w:hAnsi="Times New Roman" w:cs="Times New Roman"/>
          <w:sz w:val="32"/>
          <w:szCs w:val="32"/>
        </w:rPr>
        <w:t>feed water, water sprinkled over the roads, streets, lawns,</w:t>
      </w:r>
      <w:r>
        <w:rPr>
          <w:rFonts w:ascii="Times New Roman" w:hAnsi="Times New Roman" w:cs="Times New Roman"/>
          <w:sz w:val="32"/>
          <w:szCs w:val="32"/>
        </w:rPr>
        <w:t xml:space="preserve"> and gardens, water consumed in </w:t>
      </w:r>
      <w:r w:rsidRPr="00814681">
        <w:rPr>
          <w:rFonts w:ascii="Times New Roman" w:hAnsi="Times New Roman" w:cs="Times New Roman"/>
          <w:sz w:val="32"/>
          <w:szCs w:val="32"/>
        </w:rPr>
        <w:t>industrial product, water used in air coolers, etc.</w:t>
      </w:r>
    </w:p>
    <w:p w:rsidR="003576A5" w:rsidRPr="00814681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/>
          <w:sz w:val="32"/>
          <w:szCs w:val="32"/>
        </w:rPr>
      </w:pP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/>
          <w:sz w:val="28"/>
          <w:szCs w:val="28"/>
        </w:rPr>
      </w:pPr>
      <w:r w:rsidRPr="00814681">
        <w:rPr>
          <w:rFonts w:ascii="Times New Roman" w:hAnsi="Times New Roman" w:cs="Times New Roman"/>
          <w:b/>
          <w:bCs/>
          <w:color w:val="0F243E"/>
          <w:sz w:val="28"/>
          <w:szCs w:val="28"/>
        </w:rPr>
        <w:t xml:space="preserve">Net quantity of sewage: </w:t>
      </w:r>
      <w:r w:rsidRPr="00814681">
        <w:rPr>
          <w:rFonts w:ascii="Times New Roman" w:hAnsi="Times New Roman" w:cs="Times New Roman"/>
          <w:color w:val="0F243E"/>
          <w:sz w:val="28"/>
          <w:szCs w:val="28"/>
        </w:rPr>
        <w:t>The net quantity of sewage production can be estimated by considering the addition and subtraction as discussed above over the accounted quantity of water supplied by water authority as below:</w:t>
      </w:r>
    </w:p>
    <w:p w:rsidR="003576A5" w:rsidRPr="00814681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/>
          <w:sz w:val="28"/>
          <w:szCs w:val="28"/>
        </w:rPr>
      </w:pPr>
    </w:p>
    <w:p w:rsidR="003576A5" w:rsidRDefault="003576A5" w:rsidP="00993870">
      <w:r>
        <w:rPr>
          <w:noProof/>
        </w:rPr>
        <w:pict>
          <v:shape id="صورة 3" o:spid="_x0000_i1026" type="#_x0000_t75" style="width:492.75pt;height:105pt;visibility:visible">
            <v:imagedata r:id="rId8" o:title="" cropbottom="-157f"/>
            <o:lock v:ext="edit" aspectratio="f"/>
          </v:shape>
        </w:pict>
      </w:r>
    </w:p>
    <w:p w:rsidR="003576A5" w:rsidRPr="00814681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681">
        <w:rPr>
          <w:rFonts w:ascii="Times New Roman" w:hAnsi="Times New Roman" w:cs="Times New Roman"/>
          <w:sz w:val="28"/>
          <w:szCs w:val="28"/>
        </w:rPr>
        <w:t>Generally, 75 to 80% of accounted water supplied is c</w:t>
      </w:r>
      <w:r>
        <w:rPr>
          <w:rFonts w:ascii="Times New Roman" w:hAnsi="Times New Roman" w:cs="Times New Roman"/>
          <w:sz w:val="28"/>
          <w:szCs w:val="28"/>
        </w:rPr>
        <w:t xml:space="preserve">onsidered as quantity of sewage </w:t>
      </w:r>
      <w:r w:rsidRPr="00814681">
        <w:rPr>
          <w:rFonts w:ascii="Times New Roman" w:hAnsi="Times New Roman" w:cs="Times New Roman"/>
          <w:sz w:val="28"/>
          <w:szCs w:val="28"/>
        </w:rPr>
        <w:t>produced.</w:t>
      </w:r>
    </w:p>
    <w:p w:rsidR="003576A5" w:rsidRDefault="003576A5" w:rsidP="00993870">
      <w:r>
        <w:br w:type="page"/>
      </w:r>
    </w:p>
    <w:p w:rsidR="003576A5" w:rsidRPr="00814681" w:rsidRDefault="003576A5" w:rsidP="00993870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Times New Roman"/>
          <w:b/>
          <w:bCs/>
          <w:color w:val="C00000"/>
          <w:sz w:val="32"/>
          <w:szCs w:val="32"/>
        </w:rPr>
      </w:pPr>
      <w:r w:rsidRPr="00814681">
        <w:rPr>
          <w:rFonts w:ascii="Arial Rounded MT Bold" w:hAnsi="Arial Rounded MT Bold" w:cs="Times New Roman"/>
          <w:b/>
          <w:bCs/>
          <w:color w:val="C00000"/>
          <w:sz w:val="32"/>
          <w:szCs w:val="32"/>
        </w:rPr>
        <w:t>Variation in Sewage Flow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681">
        <w:rPr>
          <w:rFonts w:ascii="Times New Roman" w:hAnsi="Times New Roman" w:cs="Times New Roman"/>
          <w:sz w:val="28"/>
          <w:szCs w:val="28"/>
        </w:rPr>
        <w:t xml:space="preserve">Variation occurs in the flow of sewage over annual average </w:t>
      </w:r>
      <w:r>
        <w:rPr>
          <w:rFonts w:ascii="Times New Roman" w:hAnsi="Times New Roman" w:cs="Times New Roman"/>
          <w:sz w:val="28"/>
          <w:szCs w:val="28"/>
        </w:rPr>
        <w:t xml:space="preserve">daily flow. Fluctuation in flow </w:t>
      </w:r>
      <w:r w:rsidRPr="00814681">
        <w:rPr>
          <w:rFonts w:ascii="Times New Roman" w:hAnsi="Times New Roman" w:cs="Times New Roman"/>
          <w:sz w:val="28"/>
          <w:szCs w:val="28"/>
        </w:rPr>
        <w:t xml:space="preserve">occurs from hour to hour and from season to season. The </w:t>
      </w:r>
      <w:r>
        <w:rPr>
          <w:rFonts w:ascii="Times New Roman" w:hAnsi="Times New Roman" w:cs="Times New Roman"/>
          <w:sz w:val="28"/>
          <w:szCs w:val="28"/>
        </w:rPr>
        <w:t xml:space="preserve">typical hourly variation in the </w:t>
      </w:r>
      <w:r w:rsidRPr="00814681">
        <w:rPr>
          <w:rFonts w:ascii="Times New Roman" w:hAnsi="Times New Roman" w:cs="Times New Roman"/>
          <w:sz w:val="28"/>
          <w:szCs w:val="28"/>
        </w:rPr>
        <w:t>sewage flow is shown in the Figure 4.1. If the flow is gauged</w:t>
      </w:r>
      <w:r>
        <w:rPr>
          <w:rFonts w:ascii="Times New Roman" w:hAnsi="Times New Roman" w:cs="Times New Roman"/>
          <w:sz w:val="28"/>
          <w:szCs w:val="28"/>
        </w:rPr>
        <w:t xml:space="preserve"> near its origin, the peak flow </w:t>
      </w:r>
      <w:r w:rsidRPr="00814681">
        <w:rPr>
          <w:rFonts w:ascii="Times New Roman" w:hAnsi="Times New Roman" w:cs="Times New Roman"/>
          <w:sz w:val="28"/>
          <w:szCs w:val="28"/>
        </w:rPr>
        <w:t>will be quite pronounced. The peak will defer if the sewage has to travel long distanc</w:t>
      </w:r>
      <w:r>
        <w:rPr>
          <w:rFonts w:ascii="Times New Roman" w:hAnsi="Times New Roman" w:cs="Times New Roman"/>
          <w:sz w:val="28"/>
          <w:szCs w:val="28"/>
        </w:rPr>
        <w:t xml:space="preserve">e. This is </w:t>
      </w:r>
      <w:r w:rsidRPr="00814681">
        <w:rPr>
          <w:rFonts w:ascii="Times New Roman" w:hAnsi="Times New Roman" w:cs="Times New Roman"/>
          <w:sz w:val="28"/>
          <w:szCs w:val="28"/>
        </w:rPr>
        <w:t>because of the time required in collecting sufficient quantity</w:t>
      </w:r>
      <w:r>
        <w:rPr>
          <w:rFonts w:ascii="Times New Roman" w:hAnsi="Times New Roman" w:cs="Times New Roman"/>
          <w:sz w:val="28"/>
          <w:szCs w:val="28"/>
        </w:rPr>
        <w:t xml:space="preserve"> of sewage required to fill the </w:t>
      </w:r>
      <w:r w:rsidRPr="00814681">
        <w:rPr>
          <w:rFonts w:ascii="Times New Roman" w:hAnsi="Times New Roman" w:cs="Times New Roman"/>
          <w:sz w:val="28"/>
          <w:szCs w:val="28"/>
        </w:rPr>
        <w:t>sewers and time required in travelling. As sewage flow in se</w:t>
      </w:r>
      <w:r>
        <w:rPr>
          <w:rFonts w:ascii="Times New Roman" w:hAnsi="Times New Roman" w:cs="Times New Roman"/>
          <w:sz w:val="28"/>
          <w:szCs w:val="28"/>
        </w:rPr>
        <w:t xml:space="preserve">wer lines, more and more sewage </w:t>
      </w:r>
      <w:r w:rsidRPr="00814681">
        <w:rPr>
          <w:rFonts w:ascii="Times New Roman" w:hAnsi="Times New Roman" w:cs="Times New Roman"/>
          <w:sz w:val="28"/>
          <w:szCs w:val="28"/>
        </w:rPr>
        <w:t>is mixed in it due to continuous increase in the area being serve</w:t>
      </w:r>
      <w:r>
        <w:rPr>
          <w:rFonts w:ascii="Times New Roman" w:hAnsi="Times New Roman" w:cs="Times New Roman"/>
          <w:sz w:val="28"/>
          <w:szCs w:val="28"/>
        </w:rPr>
        <w:t xml:space="preserve">d by the sewer line. This leads </w:t>
      </w:r>
      <w:r w:rsidRPr="00814681">
        <w:rPr>
          <w:rFonts w:ascii="Times New Roman" w:hAnsi="Times New Roman" w:cs="Times New Roman"/>
          <w:sz w:val="28"/>
          <w:szCs w:val="28"/>
        </w:rPr>
        <w:t>to reduction in the fluctuations in the sewage flow and the lag</w:t>
      </w:r>
      <w:r>
        <w:rPr>
          <w:rFonts w:ascii="Times New Roman" w:hAnsi="Times New Roman" w:cs="Times New Roman"/>
          <w:sz w:val="28"/>
          <w:szCs w:val="28"/>
        </w:rPr>
        <w:t xml:space="preserve"> period goes on increasing. The </w:t>
      </w:r>
      <w:r w:rsidRPr="00814681">
        <w:rPr>
          <w:rFonts w:ascii="Times New Roman" w:hAnsi="Times New Roman" w:cs="Times New Roman"/>
          <w:sz w:val="28"/>
          <w:szCs w:val="28"/>
        </w:rPr>
        <w:t>magnitude of variation in the sewage quantity varies from place to</w:t>
      </w:r>
      <w:r>
        <w:rPr>
          <w:rFonts w:ascii="Times New Roman" w:hAnsi="Times New Roman" w:cs="Times New Roman"/>
          <w:sz w:val="28"/>
          <w:szCs w:val="28"/>
        </w:rPr>
        <w:t xml:space="preserve"> place and it is very difficult </w:t>
      </w:r>
      <w:r w:rsidRPr="00814681">
        <w:rPr>
          <w:rFonts w:ascii="Times New Roman" w:hAnsi="Times New Roman" w:cs="Times New Roman"/>
          <w:sz w:val="28"/>
          <w:szCs w:val="28"/>
        </w:rPr>
        <w:t>to predict. For smaller township this variation will be more</w:t>
      </w:r>
      <w:r>
        <w:rPr>
          <w:rFonts w:ascii="Times New Roman" w:hAnsi="Times New Roman" w:cs="Times New Roman"/>
          <w:sz w:val="28"/>
          <w:szCs w:val="28"/>
        </w:rPr>
        <w:t xml:space="preserve"> pronounced due to lower length </w:t>
      </w:r>
      <w:r w:rsidRPr="00814681">
        <w:rPr>
          <w:rFonts w:ascii="Times New Roman" w:hAnsi="Times New Roman" w:cs="Times New Roman"/>
          <w:sz w:val="28"/>
          <w:szCs w:val="28"/>
        </w:rPr>
        <w:t>and travel time before sewage reach to the main sewer and for larg</w:t>
      </w:r>
      <w:r>
        <w:rPr>
          <w:rFonts w:ascii="Times New Roman" w:hAnsi="Times New Roman" w:cs="Times New Roman"/>
          <w:sz w:val="28"/>
          <w:szCs w:val="28"/>
        </w:rPr>
        <w:t xml:space="preserve">e cities this variation will be </w:t>
      </w:r>
      <w:r w:rsidRPr="00814681">
        <w:rPr>
          <w:rFonts w:ascii="Times New Roman" w:hAnsi="Times New Roman" w:cs="Times New Roman"/>
          <w:sz w:val="28"/>
          <w:szCs w:val="28"/>
        </w:rPr>
        <w:t>less.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0E60">
        <w:rPr>
          <w:rFonts w:ascii="Times New Roman" w:hAnsi="Times New Roman" w:cs="Times New Roman"/>
          <w:noProof/>
          <w:sz w:val="28"/>
          <w:szCs w:val="28"/>
        </w:rPr>
        <w:pict>
          <v:shape id="صورة 4" o:spid="_x0000_i1027" type="#_x0000_t75" style="width:470.25pt;height:214.5pt;visibility:visible">
            <v:imagedata r:id="rId9" o:title=""/>
            <o:lock v:ext="edit" aspectratio="f"/>
          </v:shape>
        </w:pic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681">
        <w:rPr>
          <w:rFonts w:ascii="Times New Roman" w:hAnsi="Times New Roman" w:cs="Times New Roman"/>
          <w:sz w:val="24"/>
          <w:szCs w:val="24"/>
        </w:rPr>
        <w:t xml:space="preserve"> Figure 4.1 Typical hourly variations in sewage flow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</w:rPr>
      </w:pPr>
      <w:r w:rsidRPr="00814681">
        <w:rPr>
          <w:rFonts w:ascii="Times New Roman" w:hAnsi="Times New Roman" w:cs="Times New Roman"/>
          <w:color w:val="C00000"/>
          <w:sz w:val="28"/>
          <w:szCs w:val="28"/>
        </w:rPr>
        <w:t>For estimating design discharge following relation can be considered: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3576A5" w:rsidRPr="00814681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814681">
        <w:rPr>
          <w:rFonts w:ascii="Times New Roman" w:hAnsi="Times New Roman" w:cs="Times New Roman"/>
          <w:color w:val="002060"/>
          <w:sz w:val="28"/>
          <w:szCs w:val="28"/>
        </w:rPr>
        <w:t>Maximum daily flow</w:t>
      </w:r>
      <w:r w:rsidRPr="00814681">
        <w:rPr>
          <w:rFonts w:ascii="Times New Roman" w:hAnsi="Times New Roman" w:cs="Times New Roman"/>
          <w:color w:val="002060"/>
          <w:sz w:val="23"/>
          <w:szCs w:val="23"/>
        </w:rPr>
        <w:t xml:space="preserve">     =     </w:t>
      </w:r>
      <w:r w:rsidRPr="00814681">
        <w:rPr>
          <w:rFonts w:ascii="Times New Roman" w:hAnsi="Times New Roman" w:cs="Times New Roman"/>
          <w:color w:val="002060"/>
          <w:sz w:val="28"/>
          <w:szCs w:val="28"/>
        </w:rPr>
        <w:t>Two times the annual average daily flow (representing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814681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                            seasonal variations)</w:t>
      </w:r>
    </w:p>
    <w:p w:rsidR="003576A5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p w:rsidR="003576A5" w:rsidRPr="00814681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814681">
        <w:rPr>
          <w:rFonts w:ascii="Times New Roman" w:hAnsi="Times New Roman" w:cs="Times New Roman"/>
          <w:color w:val="002060"/>
          <w:sz w:val="28"/>
          <w:szCs w:val="28"/>
        </w:rPr>
        <w:t>Maximum hourly flow = 1.5 times the maximum daily flow (accounting hourly</w:t>
      </w:r>
    </w:p>
    <w:p w:rsidR="003576A5" w:rsidRDefault="003576A5" w:rsidP="00993870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814681">
        <w:rPr>
          <w:rFonts w:ascii="Times New Roman" w:hAnsi="Times New Roman" w:cs="Times New Roman"/>
          <w:color w:val="002060"/>
          <w:sz w:val="28"/>
          <w:szCs w:val="28"/>
        </w:rPr>
        <w:t>variations)</w:t>
      </w:r>
    </w:p>
    <w:p w:rsidR="003576A5" w:rsidRDefault="003576A5" w:rsidP="00993870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814681">
        <w:rPr>
          <w:rFonts w:ascii="Times New Roman" w:hAnsi="Times New Roman" w:cs="Times New Roman"/>
          <w:color w:val="002060"/>
          <w:sz w:val="28"/>
          <w:szCs w:val="28"/>
        </w:rPr>
        <w:t>= Three times the annual average daily flow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681">
        <w:rPr>
          <w:rFonts w:ascii="Times New Roman" w:hAnsi="Times New Roman" w:cs="Times New Roman"/>
          <w:sz w:val="28"/>
          <w:szCs w:val="28"/>
        </w:rPr>
        <w:t>As the tributary area increases, peak hourly flow will decrease</w:t>
      </w:r>
      <w:r>
        <w:rPr>
          <w:rFonts w:ascii="Times New Roman" w:hAnsi="Times New Roman" w:cs="Times New Roman"/>
          <w:sz w:val="28"/>
          <w:szCs w:val="28"/>
        </w:rPr>
        <w:t xml:space="preserve">. For smaller population served </w:t>
      </w:r>
      <w:r w:rsidRPr="00814681">
        <w:rPr>
          <w:rFonts w:ascii="Times New Roman" w:hAnsi="Times New Roman" w:cs="Times New Roman"/>
          <w:sz w:val="28"/>
          <w:szCs w:val="28"/>
        </w:rPr>
        <w:t>(less than 50000) the peak factor can be 2.5, and as the population served i</w:t>
      </w:r>
      <w:r>
        <w:rPr>
          <w:rFonts w:ascii="Times New Roman" w:hAnsi="Times New Roman" w:cs="Times New Roman"/>
          <w:sz w:val="28"/>
          <w:szCs w:val="28"/>
        </w:rPr>
        <w:t xml:space="preserve">ncreases its value </w:t>
      </w:r>
      <w:r w:rsidRPr="00814681">
        <w:rPr>
          <w:rFonts w:ascii="Times New Roman" w:hAnsi="Times New Roman" w:cs="Times New Roman"/>
          <w:sz w:val="28"/>
          <w:szCs w:val="28"/>
        </w:rPr>
        <w:t>reduces. For large cities it can be considered about 1.5 to 2.0. T</w:t>
      </w:r>
      <w:r>
        <w:rPr>
          <w:rFonts w:ascii="Times New Roman" w:hAnsi="Times New Roman" w:cs="Times New Roman"/>
          <w:sz w:val="28"/>
          <w:szCs w:val="28"/>
        </w:rPr>
        <w:t xml:space="preserve">herefore, for outfall sewer the </w:t>
      </w:r>
      <w:r w:rsidRPr="00814681">
        <w:rPr>
          <w:rFonts w:ascii="Times New Roman" w:hAnsi="Times New Roman" w:cs="Times New Roman"/>
          <w:sz w:val="28"/>
          <w:szCs w:val="28"/>
        </w:rPr>
        <w:t>peak flow can be considered as 1.5 times the annual average dai</w:t>
      </w:r>
      <w:r>
        <w:rPr>
          <w:rFonts w:ascii="Times New Roman" w:hAnsi="Times New Roman" w:cs="Times New Roman"/>
          <w:sz w:val="28"/>
          <w:szCs w:val="28"/>
        </w:rPr>
        <w:t xml:space="preserve">ly flow. Even for design of the </w:t>
      </w:r>
      <w:r w:rsidRPr="00814681">
        <w:rPr>
          <w:rFonts w:ascii="Times New Roman" w:hAnsi="Times New Roman" w:cs="Times New Roman"/>
          <w:sz w:val="28"/>
          <w:szCs w:val="28"/>
        </w:rPr>
        <w:t>treatment facility, the peak factor is considered as 1.5 times the annual average daily flow.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The minimum flow passing through sewers is important to dev</w:t>
      </w:r>
      <w:r>
        <w:rPr>
          <w:rFonts w:ascii="Times New Roman" w:hAnsi="Times New Roman" w:cs="Times New Roman"/>
          <w:sz w:val="28"/>
          <w:szCs w:val="28"/>
        </w:rPr>
        <w:t xml:space="preserve">elop self-cleansing velocity to </w:t>
      </w:r>
      <w:r w:rsidRPr="007E3A78">
        <w:rPr>
          <w:rFonts w:ascii="Times New Roman" w:hAnsi="Times New Roman" w:cs="Times New Roman"/>
          <w:sz w:val="28"/>
          <w:szCs w:val="28"/>
        </w:rPr>
        <w:t>avoid silting in sewers. This flow will generate in the sewe</w:t>
      </w:r>
      <w:r>
        <w:rPr>
          <w:rFonts w:ascii="Times New Roman" w:hAnsi="Times New Roman" w:cs="Times New Roman"/>
          <w:sz w:val="28"/>
          <w:szCs w:val="28"/>
        </w:rPr>
        <w:t xml:space="preserve">rs during late night hours. The </w:t>
      </w:r>
      <w:r w:rsidRPr="007E3A78">
        <w:rPr>
          <w:rFonts w:ascii="Times New Roman" w:hAnsi="Times New Roman" w:cs="Times New Roman"/>
          <w:sz w:val="28"/>
          <w:szCs w:val="28"/>
        </w:rPr>
        <w:t xml:space="preserve">effect of this flow is more pronounced on lateral sewers than </w:t>
      </w:r>
      <w:r>
        <w:rPr>
          <w:rFonts w:ascii="Times New Roman" w:hAnsi="Times New Roman" w:cs="Times New Roman"/>
          <w:sz w:val="28"/>
          <w:szCs w:val="28"/>
        </w:rPr>
        <w:t xml:space="preserve">the main sewers. Sewers must be </w:t>
      </w:r>
      <w:r w:rsidRPr="007E3A78">
        <w:rPr>
          <w:rFonts w:ascii="Times New Roman" w:hAnsi="Times New Roman" w:cs="Times New Roman"/>
          <w:sz w:val="28"/>
          <w:szCs w:val="28"/>
        </w:rPr>
        <w:t>checked for minimum velocity as follows: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3A78">
        <w:rPr>
          <w:rFonts w:ascii="Times New Roman" w:hAnsi="Times New Roman" w:cs="Times New Roman"/>
          <w:color w:val="002060"/>
          <w:sz w:val="28"/>
          <w:szCs w:val="28"/>
        </w:rPr>
        <w:t>Minimum daily flow = 2/3 Annual average daily flow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3A78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Minimum hourly flow = ½ minimum daily flow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3A78">
        <w:rPr>
          <w:rFonts w:ascii="Times New Roman" w:hAnsi="Times New Roman" w:cs="Times New Roman"/>
          <w:color w:val="002060"/>
          <w:sz w:val="28"/>
          <w:szCs w:val="28"/>
        </w:rPr>
        <w:t xml:space="preserve">  = 1/3 Annual average daily flow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The overall variation between the maximum and minimum flow i</w:t>
      </w:r>
      <w:r>
        <w:rPr>
          <w:rFonts w:ascii="Times New Roman" w:hAnsi="Times New Roman" w:cs="Times New Roman"/>
          <w:sz w:val="28"/>
          <w:szCs w:val="28"/>
        </w:rPr>
        <w:t xml:space="preserve">s more in the laterals and less </w:t>
      </w:r>
      <w:r w:rsidRPr="007E3A78">
        <w:rPr>
          <w:rFonts w:ascii="Times New Roman" w:hAnsi="Times New Roman" w:cs="Times New Roman"/>
          <w:sz w:val="28"/>
          <w:szCs w:val="28"/>
        </w:rPr>
        <w:t>in the main or trunk sewers. This ratio may be more than 6 for la</w:t>
      </w:r>
      <w:r>
        <w:rPr>
          <w:rFonts w:ascii="Times New Roman" w:hAnsi="Times New Roman" w:cs="Times New Roman"/>
          <w:sz w:val="28"/>
          <w:szCs w:val="28"/>
        </w:rPr>
        <w:t xml:space="preserve">terals and about 2 to 3 in case </w:t>
      </w:r>
      <w:r w:rsidRPr="007E3A78">
        <w:rPr>
          <w:rFonts w:ascii="Times New Roman" w:hAnsi="Times New Roman" w:cs="Times New Roman"/>
          <w:sz w:val="28"/>
          <w:szCs w:val="28"/>
        </w:rPr>
        <w:t>of main sewers.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C00000"/>
          <w:sz w:val="32"/>
          <w:szCs w:val="32"/>
        </w:rPr>
      </w:pPr>
      <w:r w:rsidRPr="007E3A78">
        <w:rPr>
          <w:rFonts w:ascii="Times New Roman" w:hAnsi="Times New Roman" w:cs="Times New Roman"/>
          <w:b/>
          <w:bCs/>
          <w:color w:val="C00000"/>
          <w:sz w:val="32"/>
          <w:szCs w:val="32"/>
        </w:rPr>
        <w:t>Design Period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The future period for which the provision is made in designing the capacities of the various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components of the sewerage scheme is known as the design period. The design period depends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upon the following:</w:t>
      </w:r>
    </w:p>
    <w:p w:rsidR="003576A5" w:rsidRPr="007E3A78" w:rsidRDefault="003576A5" w:rsidP="0099387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Ease and difficulty in expansion,</w:t>
      </w:r>
    </w:p>
    <w:p w:rsidR="003576A5" w:rsidRPr="007E3A78" w:rsidRDefault="003576A5" w:rsidP="0099387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Amount and availability of investment,</w:t>
      </w:r>
    </w:p>
    <w:p w:rsidR="003576A5" w:rsidRPr="007E3A78" w:rsidRDefault="003576A5" w:rsidP="0099387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Anticipated rate of population growth, including shifts in communities, industries andcommercial investments,</w:t>
      </w:r>
    </w:p>
    <w:p w:rsidR="003576A5" w:rsidRPr="007E3A78" w:rsidRDefault="003576A5" w:rsidP="0099387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Hydraulic constraints of the systems designed, and</w:t>
      </w:r>
    </w:p>
    <w:p w:rsidR="003576A5" w:rsidRDefault="003576A5" w:rsidP="009938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Life of the material and equipment.</w:t>
      </w:r>
    </w:p>
    <w:p w:rsidR="003576A5" w:rsidRDefault="003576A5" w:rsidP="009938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Following design period can be considered for different components of sewage scheme.</w:t>
      </w:r>
    </w:p>
    <w:p w:rsidR="003576A5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color w:val="C00000"/>
          <w:sz w:val="28"/>
          <w:szCs w:val="28"/>
        </w:rPr>
        <w:t xml:space="preserve">1. </w:t>
      </w:r>
      <w:r w:rsidRPr="007E3A78">
        <w:rPr>
          <w:rFonts w:ascii="Times New Roman" w:hAnsi="Times New Roman" w:cs="Times New Roman"/>
          <w:sz w:val="28"/>
          <w:szCs w:val="28"/>
        </w:rPr>
        <w:t>Laterals less than 15 cm diameter : Full development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color w:val="C00000"/>
          <w:sz w:val="28"/>
          <w:szCs w:val="28"/>
        </w:rPr>
        <w:t xml:space="preserve">2. </w:t>
      </w:r>
      <w:r w:rsidRPr="007E3A78">
        <w:rPr>
          <w:rFonts w:ascii="Times New Roman" w:hAnsi="Times New Roman" w:cs="Times New Roman"/>
          <w:sz w:val="28"/>
          <w:szCs w:val="28"/>
        </w:rPr>
        <w:t>Trunk or main sewers : 40 to 50 years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color w:val="C00000"/>
          <w:sz w:val="28"/>
          <w:szCs w:val="28"/>
        </w:rPr>
        <w:t xml:space="preserve">3. </w:t>
      </w:r>
      <w:r w:rsidRPr="007E3A78">
        <w:rPr>
          <w:rFonts w:ascii="Times New Roman" w:hAnsi="Times New Roman" w:cs="Times New Roman"/>
          <w:sz w:val="28"/>
          <w:szCs w:val="28"/>
        </w:rPr>
        <w:t>Treatment Units : 15 to 20 years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color w:val="C00000"/>
          <w:sz w:val="28"/>
          <w:szCs w:val="28"/>
        </w:rPr>
        <w:t xml:space="preserve">4. </w:t>
      </w:r>
      <w:r w:rsidRPr="007E3A78">
        <w:rPr>
          <w:rFonts w:ascii="Times New Roman" w:hAnsi="Times New Roman" w:cs="Times New Roman"/>
          <w:sz w:val="28"/>
          <w:szCs w:val="28"/>
        </w:rPr>
        <w:t>Pumping plant : 5 to 10 years</w:t>
      </w:r>
      <w:r w:rsidRPr="007E3A78">
        <w:rPr>
          <w:rFonts w:ascii="Times New Roman" w:hAnsi="Times New Roman" w:cs="Times New Roman"/>
          <w:color w:val="002060"/>
          <w:sz w:val="28"/>
          <w:szCs w:val="28"/>
        </w:rPr>
        <w:br w:type="page"/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7E3A78">
        <w:rPr>
          <w:rFonts w:ascii="Times New Roman" w:hAnsi="Times New Roman" w:cs="Times New Roman"/>
          <w:b/>
          <w:bCs/>
          <w:color w:val="C00000"/>
          <w:sz w:val="28"/>
          <w:szCs w:val="28"/>
        </w:rPr>
        <w:t>Design Discharge of Sanitary Sewage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The total quantity of sewage generated per day is estimated as p</w:t>
      </w:r>
      <w:r>
        <w:rPr>
          <w:rFonts w:ascii="Times New Roman" w:hAnsi="Times New Roman" w:cs="Times New Roman"/>
          <w:sz w:val="28"/>
          <w:szCs w:val="28"/>
        </w:rPr>
        <w:t xml:space="preserve">roduct of forecasted population </w:t>
      </w:r>
      <w:r w:rsidRPr="007E3A78">
        <w:rPr>
          <w:rFonts w:ascii="Times New Roman" w:hAnsi="Times New Roman" w:cs="Times New Roman"/>
          <w:sz w:val="28"/>
          <w:szCs w:val="28"/>
        </w:rPr>
        <w:t xml:space="preserve">at the end of design period considering per capita sewage </w:t>
      </w:r>
      <w:r>
        <w:rPr>
          <w:rFonts w:ascii="Times New Roman" w:hAnsi="Times New Roman" w:cs="Times New Roman"/>
          <w:sz w:val="28"/>
          <w:szCs w:val="28"/>
        </w:rPr>
        <w:t xml:space="preserve">generation and appropriate peak </w:t>
      </w:r>
      <w:r w:rsidRPr="007E3A78">
        <w:rPr>
          <w:rFonts w:ascii="Times New Roman" w:hAnsi="Times New Roman" w:cs="Times New Roman"/>
          <w:sz w:val="28"/>
          <w:szCs w:val="28"/>
        </w:rPr>
        <w:t>factor. The per capita sewage generation can be considered</w:t>
      </w:r>
      <w:r>
        <w:rPr>
          <w:rFonts w:ascii="Times New Roman" w:hAnsi="Times New Roman" w:cs="Times New Roman"/>
          <w:sz w:val="28"/>
          <w:szCs w:val="28"/>
        </w:rPr>
        <w:t xml:space="preserve"> as 75 to 80% of the per capita </w:t>
      </w:r>
      <w:r w:rsidRPr="007E3A78">
        <w:rPr>
          <w:rFonts w:ascii="Times New Roman" w:hAnsi="Times New Roman" w:cs="Times New Roman"/>
          <w:sz w:val="28"/>
          <w:szCs w:val="28"/>
        </w:rPr>
        <w:t xml:space="preserve">water supplied per day. The increase in population also result </w:t>
      </w:r>
      <w:r>
        <w:rPr>
          <w:rFonts w:ascii="Times New Roman" w:hAnsi="Times New Roman" w:cs="Times New Roman"/>
          <w:sz w:val="28"/>
          <w:szCs w:val="28"/>
        </w:rPr>
        <w:t xml:space="preserve">in increase in per capita water </w:t>
      </w:r>
      <w:r w:rsidRPr="007E3A78">
        <w:rPr>
          <w:rFonts w:ascii="Times New Roman" w:hAnsi="Times New Roman" w:cs="Times New Roman"/>
          <w:sz w:val="28"/>
          <w:szCs w:val="28"/>
        </w:rPr>
        <w:t>demand and hence, per capita production of sewage. This incr</w:t>
      </w:r>
      <w:r>
        <w:rPr>
          <w:rFonts w:ascii="Times New Roman" w:hAnsi="Times New Roman" w:cs="Times New Roman"/>
          <w:sz w:val="28"/>
          <w:szCs w:val="28"/>
        </w:rPr>
        <w:t xml:space="preserve">ease in water demand occurs due </w:t>
      </w:r>
      <w:r w:rsidRPr="007E3A78">
        <w:rPr>
          <w:rFonts w:ascii="Times New Roman" w:hAnsi="Times New Roman" w:cs="Times New Roman"/>
          <w:sz w:val="28"/>
          <w:szCs w:val="28"/>
        </w:rPr>
        <w:t>to increase in living standards, betterment in economical condition and changes in habit of</w:t>
      </w:r>
    </w:p>
    <w:p w:rsidR="003576A5" w:rsidRDefault="003576A5" w:rsidP="00993870">
      <w:pPr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people.</w:t>
      </w:r>
    </w:p>
    <w:p w:rsidR="003576A5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p w:rsidR="003576A5" w:rsidRDefault="003576A5" w:rsidP="00993870">
      <w:pPr>
        <w:rPr>
          <w:rStyle w:val="Strong"/>
          <w:rFonts w:ascii="Verdana" w:hAnsi="Verdana"/>
          <w:color w:val="C00000"/>
          <w:sz w:val="20"/>
          <w:szCs w:val="20"/>
        </w:rPr>
      </w:pPr>
      <w:r w:rsidRPr="008D76CF">
        <w:rPr>
          <w:rStyle w:val="Strong"/>
          <w:rFonts w:ascii="Verdana" w:hAnsi="Verdana"/>
          <w:color w:val="C00000"/>
          <w:sz w:val="20"/>
          <w:szCs w:val="20"/>
        </w:rPr>
        <w:t>Quantity= Per capita sewage contributed per day x   Population</w:t>
      </w:r>
    </w:p>
    <w:p w:rsidR="003576A5" w:rsidRDefault="003576A5" w:rsidP="00993870">
      <w:pPr>
        <w:rPr>
          <w:rStyle w:val="Strong"/>
          <w:rFonts w:ascii="Verdana" w:hAnsi="Verdana"/>
          <w:b w:val="0"/>
          <w:bCs w:val="0"/>
          <w:color w:val="C00000"/>
        </w:rPr>
      </w:pPr>
      <w:r w:rsidRPr="008D76CF">
        <w:rPr>
          <w:rStyle w:val="Strong"/>
          <w:rFonts w:ascii="Verdana" w:hAnsi="Verdana"/>
          <w:color w:val="C00000"/>
          <w:sz w:val="20"/>
          <w:szCs w:val="20"/>
        </w:rPr>
        <w:t>  </w:t>
      </w:r>
      <w:r w:rsidRPr="008D76CF">
        <w:rPr>
          <w:rFonts w:ascii="Verdana" w:hAnsi="Verdana"/>
          <w:b/>
          <w:bCs/>
          <w:color w:val="C00000"/>
        </w:rPr>
        <w:t>Std. BOD</w:t>
      </w:r>
      <w:r w:rsidRPr="008D76CF">
        <w:rPr>
          <w:rFonts w:ascii="Verdana" w:hAnsi="Verdana"/>
          <w:b/>
          <w:bCs/>
          <w:color w:val="C00000"/>
          <w:vertAlign w:val="subscript"/>
        </w:rPr>
        <w:t>5</w:t>
      </w:r>
      <w:r w:rsidRPr="008D76CF">
        <w:rPr>
          <w:rStyle w:val="apple-converted-space"/>
          <w:rFonts w:ascii="Verdana" w:hAnsi="Verdana"/>
          <w:b/>
          <w:bCs/>
          <w:color w:val="C00000"/>
        </w:rPr>
        <w:t> </w:t>
      </w:r>
      <w:r w:rsidRPr="008D76CF">
        <w:rPr>
          <w:rFonts w:ascii="Verdana" w:hAnsi="Verdana"/>
          <w:b/>
          <w:bCs/>
          <w:color w:val="C00000"/>
        </w:rPr>
        <w:t>= (Std. BOD</w:t>
      </w:r>
      <w:r w:rsidRPr="008D76CF">
        <w:rPr>
          <w:rFonts w:ascii="Verdana" w:hAnsi="Verdana"/>
          <w:b/>
          <w:bCs/>
          <w:color w:val="C00000"/>
          <w:vertAlign w:val="subscript"/>
        </w:rPr>
        <w:t>5</w:t>
      </w:r>
      <w:r w:rsidRPr="008D76CF">
        <w:rPr>
          <w:rStyle w:val="apple-converted-space"/>
          <w:rFonts w:ascii="Verdana" w:hAnsi="Verdana"/>
          <w:b/>
          <w:bCs/>
          <w:color w:val="C00000"/>
        </w:rPr>
        <w:t> </w:t>
      </w:r>
      <w:r w:rsidRPr="008D76CF">
        <w:rPr>
          <w:rFonts w:ascii="Verdana" w:hAnsi="Verdana"/>
          <w:b/>
          <w:bCs/>
          <w:color w:val="C00000"/>
        </w:rPr>
        <w:t>of domestic sewage per person per day) x</w:t>
      </w:r>
      <w:r w:rsidRPr="008D76CF">
        <w:rPr>
          <w:rFonts w:ascii="Verdana" w:hAnsi="Verdana"/>
          <w:b/>
          <w:bCs/>
          <w:color w:val="C00000"/>
        </w:rPr>
        <w:br/>
        <w:t>                  (population equivalent)</w:t>
      </w:r>
      <w:r w:rsidRPr="008D76CF">
        <w:rPr>
          <w:rStyle w:val="Strong"/>
          <w:rFonts w:ascii="Verdana" w:hAnsi="Verdana"/>
          <w:b w:val="0"/>
          <w:bCs w:val="0"/>
          <w:color w:val="C00000"/>
        </w:rPr>
        <w:t> </w:t>
      </w:r>
    </w:p>
    <w:p w:rsidR="003576A5" w:rsidRPr="008D76CF" w:rsidRDefault="003576A5" w:rsidP="00993870">
      <w:pPr>
        <w:rPr>
          <w:rStyle w:val="Strong"/>
          <w:rFonts w:ascii="Verdana" w:hAnsi="Verdana"/>
          <w:b w:val="0"/>
          <w:bCs w:val="0"/>
          <w:color w:val="C00000"/>
        </w:rPr>
      </w:pPr>
    </w:p>
    <w:p w:rsidR="003576A5" w:rsidRPr="008D76CF" w:rsidRDefault="003576A5" w:rsidP="00993870">
      <w:pPr>
        <w:rPr>
          <w:rFonts w:ascii="Times New Roman" w:hAnsi="Times New Roman" w:cs="Times New Roman"/>
          <w:sz w:val="20"/>
          <w:szCs w:val="20"/>
        </w:rPr>
      </w:pPr>
      <w:r w:rsidRPr="008D76CF">
        <w:rPr>
          <w:rStyle w:val="Strong"/>
          <w:rFonts w:ascii="Verdana" w:hAnsi="Verdana"/>
          <w:color w:val="000000"/>
          <w:sz w:val="20"/>
          <w:szCs w:val="20"/>
        </w:rPr>
        <w:t>                 </w:t>
      </w:r>
    </w:p>
    <w:p w:rsidR="003576A5" w:rsidRPr="00583DD6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83DD6">
        <w:rPr>
          <w:rFonts w:ascii="Times New Roman" w:hAnsi="Times New Roman" w:cs="Times New Roman"/>
          <w:b/>
          <w:bCs/>
          <w:color w:val="FF0000"/>
          <w:sz w:val="28"/>
          <w:szCs w:val="28"/>
        </w:rPr>
        <w:t>Questions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1. Write about evaluation of design discharge for sanitary sewage.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2. What is dry weather flow?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3. Describe variation in sewage flow. How design of different component of</w:t>
      </w:r>
    </w:p>
    <w:p w:rsidR="003576A5" w:rsidRPr="007E3A78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sewerage scheme will be affected due to this variation?</w:t>
      </w:r>
    </w:p>
    <w:p w:rsidR="003576A5" w:rsidRPr="00583DD6" w:rsidRDefault="003576A5" w:rsidP="00993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A78">
        <w:rPr>
          <w:rFonts w:ascii="Times New Roman" w:hAnsi="Times New Roman" w:cs="Times New Roman"/>
          <w:sz w:val="28"/>
          <w:szCs w:val="28"/>
        </w:rPr>
        <w:t>4. What is design period? It depends on what parame</w:t>
      </w:r>
      <w:r>
        <w:rPr>
          <w:rFonts w:ascii="Times New Roman" w:hAnsi="Times New Roman" w:cs="Times New Roman"/>
          <w:sz w:val="28"/>
          <w:szCs w:val="28"/>
        </w:rPr>
        <w:t xml:space="preserve">ters ?  Provide design period for </w:t>
      </w:r>
      <w:r w:rsidRPr="007E3A78">
        <w:rPr>
          <w:rFonts w:ascii="Times New Roman" w:hAnsi="Times New Roman" w:cs="Times New Roman"/>
          <w:sz w:val="28"/>
          <w:szCs w:val="28"/>
        </w:rPr>
        <w:t>different components of the sewerage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3576A5" w:rsidRDefault="003576A5" w:rsidP="0099387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br w:type="page"/>
      </w:r>
    </w:p>
    <w:p w:rsidR="003576A5" w:rsidRDefault="003576A5" w:rsidP="0099387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noProof/>
        </w:rPr>
        <w:pict>
          <v:rect id="Rectangle 7" o:spid="_x0000_s1026" style="position:absolute;margin-left:-48.75pt;margin-top:4.5pt;width:570.75pt;height:81.75pt;z-index:251655168;visibility:visible" filled="f" stroked="f">
            <v:textbox>
              <w:txbxContent>
                <w:p w:rsidR="003576A5" w:rsidRPr="000E1CCF" w:rsidRDefault="003576A5" w:rsidP="00993870">
                  <w:pPr>
                    <w:pStyle w:val="NormalWeb"/>
                    <w:spacing w:before="0" w:beforeAutospacing="0" w:after="0" w:afterAutospacing="0"/>
                    <w:rPr>
                      <w:sz w:val="32"/>
                      <w:szCs w:val="32"/>
                    </w:rPr>
                  </w:pPr>
                  <w:r w:rsidRPr="006C6C5B">
                    <w:rPr>
                      <w:rFonts w:ascii="Calibri" w:hAnsi="Calibri" w:cs="Arial"/>
                      <w:color w:val="000000"/>
                      <w:kern w:val="24"/>
                      <w:sz w:val="32"/>
                      <w:szCs w:val="32"/>
                      <w:lang w:val="en-GB"/>
                    </w:rPr>
                    <w:t>Question: Table shows the information of daily wastewater flow rate and BOD</w:t>
                  </w:r>
                  <w:r w:rsidRPr="006C6C5B">
                    <w:rPr>
                      <w:rFonts w:ascii="Calibri" w:hAnsi="Calibri" w:cs="Arial"/>
                      <w:color w:val="000000"/>
                      <w:kern w:val="24"/>
                      <w:position w:val="-10"/>
                      <w:sz w:val="32"/>
                      <w:szCs w:val="32"/>
                      <w:vertAlign w:val="subscript"/>
                      <w:lang w:val="en-GB"/>
                    </w:rPr>
                    <w:t xml:space="preserve">5 </w:t>
                  </w:r>
                  <w:r w:rsidRPr="006C6C5B">
                    <w:rPr>
                      <w:rFonts w:ascii="Calibri" w:hAnsi="Calibri" w:cs="Arial"/>
                      <w:color w:val="000000"/>
                      <w:kern w:val="24"/>
                      <w:sz w:val="32"/>
                      <w:szCs w:val="32"/>
                      <w:lang w:val="en-GB"/>
                    </w:rPr>
                    <w:t>concentration for an urban area. Determine the average daily wastewater flow rate and BOD</w:t>
                  </w:r>
                  <w:r w:rsidRPr="006C6C5B">
                    <w:rPr>
                      <w:rFonts w:ascii="Calibri" w:hAnsi="Calibri" w:cs="Arial"/>
                      <w:color w:val="000000"/>
                      <w:kern w:val="24"/>
                      <w:position w:val="-10"/>
                      <w:sz w:val="32"/>
                      <w:szCs w:val="32"/>
                      <w:vertAlign w:val="subscript"/>
                      <w:lang w:val="en-GB"/>
                    </w:rPr>
                    <w:t xml:space="preserve">5 </w:t>
                  </w:r>
                  <w:r w:rsidRPr="006C6C5B">
                    <w:rPr>
                      <w:rFonts w:ascii="Calibri" w:hAnsi="Calibri" w:cs="Arial"/>
                      <w:color w:val="000000"/>
                      <w:kern w:val="24"/>
                      <w:sz w:val="32"/>
                      <w:szCs w:val="32"/>
                      <w:lang w:val="en-GB"/>
                    </w:rPr>
                    <w:t>concentration.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3" o:spid="_x0000_s1027" type="#_x0000_t202" style="position:absolute;margin-left:-48.75pt;margin-top:-28.4pt;width:666pt;height:36.35pt;z-index:251654144;visibility:visible" filled="f" stroked="f">
            <v:textbox style="mso-fit-shape-to-text:t">
              <w:txbxContent>
                <w:p w:rsidR="003576A5" w:rsidRPr="000E1CCF" w:rsidRDefault="003576A5" w:rsidP="00993870">
                  <w:pPr>
                    <w:pStyle w:val="NormalWeb"/>
                    <w:spacing w:before="0" w:beforeAutospacing="0" w:after="0" w:afterAutospacing="0"/>
                    <w:rPr>
                      <w:color w:val="C00000"/>
                      <w:sz w:val="36"/>
                      <w:szCs w:val="36"/>
                    </w:rPr>
                  </w:pPr>
                  <w:r w:rsidRPr="006C6C5B">
                    <w:rPr>
                      <w:rFonts w:ascii="Calibri" w:hAnsi="Calibri" w:cs="Arial"/>
                      <w:color w:val="C00000"/>
                      <w:kern w:val="24"/>
                      <w:sz w:val="36"/>
                      <w:szCs w:val="36"/>
                      <w:u w:val="single"/>
                    </w:rPr>
                    <w:t xml:space="preserve">Example of calculating </w:t>
                  </w:r>
                  <w:r w:rsidRPr="006C6C5B">
                    <w:rPr>
                      <w:rFonts w:ascii="Calibri" w:hAnsi="Calibri" w:cs="Arial"/>
                      <w:color w:val="C00000"/>
                      <w:kern w:val="24"/>
                      <w:sz w:val="36"/>
                      <w:szCs w:val="36"/>
                      <w:u w:val="single"/>
                      <w:lang w:val="en-GB"/>
                    </w:rPr>
                    <w:t>average daily wastewater flow rate</w:t>
                  </w:r>
                </w:p>
              </w:txbxContent>
            </v:textbox>
          </v:shape>
        </w:pict>
      </w:r>
    </w:p>
    <w:p w:rsidR="003576A5" w:rsidRDefault="003576A5" w:rsidP="0099387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noProof/>
        </w:rPr>
        <w:pict>
          <v:shape id="table" o:spid="_x0000_s1028" type="#_x0000_t75" style="position:absolute;margin-left:-27.75pt;margin-top:57.75pt;width:489pt;height:199.5pt;z-index:251656192;visibility:visible">
            <v:imagedata r:id="rId10" o:title=""/>
          </v:shape>
        </w:pict>
      </w:r>
      <w:r>
        <w:rPr>
          <w:noProof/>
        </w:rPr>
        <w:pict>
          <v:shape id="صورة 1" o:spid="_x0000_s1029" type="#_x0000_t75" alt="لقطة الشاشة" style="position:absolute;margin-left:295.4pt;margin-top:146.2pt;width:.75pt;height:6pt;z-index:251657216;visibility:visible">
            <v:imagedata r:id="rId11" o:title=""/>
          </v:shape>
        </w:pict>
      </w:r>
    </w:p>
    <w:p w:rsidR="003576A5" w:rsidRPr="00EC5346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p w:rsidR="003576A5" w:rsidRPr="00EC5346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p w:rsidR="003576A5" w:rsidRPr="00EC5346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p w:rsidR="003576A5" w:rsidRPr="00EC5346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p w:rsidR="003576A5" w:rsidRPr="00EC5346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p w:rsidR="003576A5" w:rsidRPr="00EC5346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p w:rsidR="003576A5" w:rsidRPr="00EC5346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p w:rsidR="003576A5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p w:rsidR="003576A5" w:rsidRDefault="003576A5" w:rsidP="0099387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TextBox 4" o:spid="_x0000_s1030" type="#_x0000_t202" style="position:absolute;margin-left:-36pt;margin-top:20.1pt;width:564pt;height:65.45pt;z-index:251658240;visibility:visible" filled="f" stroked="f">
            <v:textbox style="mso-fit-shape-to-text:t">
              <w:txbxContent>
                <w:p w:rsidR="003576A5" w:rsidRPr="00EC5346" w:rsidRDefault="003576A5" w:rsidP="00993870">
                  <w:pPr>
                    <w:pStyle w:val="NormalWeb"/>
                    <w:spacing w:before="0" w:beforeAutospacing="0" w:after="0" w:afterAutospacing="0"/>
                    <w:rPr>
                      <w:color w:val="C00000"/>
                      <w:sz w:val="36"/>
                      <w:szCs w:val="36"/>
                    </w:rPr>
                  </w:pPr>
                  <w:r w:rsidRPr="006C6C5B">
                    <w:rPr>
                      <w:rFonts w:ascii="Calibri" w:hAnsi="Calibri" w:cs="Arial"/>
                      <w:color w:val="C00000"/>
                      <w:kern w:val="24"/>
                      <w:sz w:val="36"/>
                      <w:szCs w:val="36"/>
                    </w:rPr>
                    <w:t>Solution</w:t>
                  </w:r>
                </w:p>
                <w:p w:rsidR="003576A5" w:rsidRPr="00EC5346" w:rsidRDefault="003576A5" w:rsidP="00993870">
                  <w:pPr>
                    <w:pStyle w:val="NormalWeb"/>
                    <w:spacing w:before="0" w:beforeAutospacing="0" w:after="0" w:afterAutospacing="0"/>
                    <w:rPr>
                      <w:sz w:val="36"/>
                      <w:szCs w:val="36"/>
                    </w:rPr>
                  </w:pPr>
                  <w:r w:rsidRPr="006C6C5B">
                    <w:rPr>
                      <w:rFonts w:ascii="Calibri" w:hAnsi="Calibri" w:cs="Arial"/>
                      <w:color w:val="000000"/>
                      <w:kern w:val="24"/>
                      <w:sz w:val="36"/>
                      <w:szCs w:val="36"/>
                    </w:rPr>
                    <w:t>i. Calculate the average wastewater flow rate</w:t>
                  </w:r>
                </w:p>
              </w:txbxContent>
            </v:textbox>
          </v:shape>
        </w:pict>
      </w:r>
    </w:p>
    <w:p w:rsidR="003576A5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p w:rsidR="003576A5" w:rsidRPr="00EC5346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21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2297"/>
        <w:gridCol w:w="4929"/>
        <w:gridCol w:w="3095"/>
      </w:tblGrid>
      <w:tr w:rsidR="003576A5" w:rsidRPr="006C6C5B" w:rsidTr="00892A79">
        <w:trPr>
          <w:trHeight w:val="720"/>
        </w:trPr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Utility</w:t>
            </w:r>
          </w:p>
        </w:tc>
        <w:tc>
          <w:tcPr>
            <w:tcW w:w="4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PE x average daily flowrate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6A5" w:rsidRPr="006C6C5B" w:rsidTr="00892A79">
        <w:trPr>
          <w:trHeight w:val="425"/>
        </w:trPr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Domestic</w:t>
            </w:r>
          </w:p>
        </w:tc>
        <w:tc>
          <w:tcPr>
            <w:tcW w:w="4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30 000 x 625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18,750,000</w:t>
            </w:r>
          </w:p>
        </w:tc>
      </w:tr>
      <w:tr w:rsidR="003576A5" w:rsidRPr="006C6C5B" w:rsidTr="00892A79">
        <w:trPr>
          <w:trHeight w:val="425"/>
        </w:trPr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Hospital</w:t>
            </w:r>
          </w:p>
        </w:tc>
        <w:tc>
          <w:tcPr>
            <w:tcW w:w="4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650 x 600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390,000</w:t>
            </w:r>
          </w:p>
        </w:tc>
      </w:tr>
      <w:tr w:rsidR="003576A5" w:rsidRPr="006C6C5B" w:rsidTr="00892A79">
        <w:trPr>
          <w:trHeight w:val="425"/>
        </w:trPr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Restaurant</w:t>
            </w:r>
          </w:p>
        </w:tc>
        <w:tc>
          <w:tcPr>
            <w:tcW w:w="4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250 x 30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7500</w:t>
            </w:r>
          </w:p>
        </w:tc>
      </w:tr>
      <w:tr w:rsidR="003576A5" w:rsidRPr="006C6C5B" w:rsidTr="00892A79">
        <w:trPr>
          <w:trHeight w:val="634"/>
        </w:trPr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School with cafe</w:t>
            </w:r>
          </w:p>
        </w:tc>
        <w:tc>
          <w:tcPr>
            <w:tcW w:w="4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1500 x 280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420,000</w:t>
            </w:r>
          </w:p>
        </w:tc>
      </w:tr>
      <w:tr w:rsidR="003576A5" w:rsidRPr="006C6C5B" w:rsidTr="00892A79">
        <w:trPr>
          <w:trHeight w:val="840"/>
        </w:trPr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School without cafe</w:t>
            </w:r>
          </w:p>
        </w:tc>
        <w:tc>
          <w:tcPr>
            <w:tcW w:w="4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5400 x 60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324,000</w:t>
            </w:r>
          </w:p>
        </w:tc>
      </w:tr>
      <w:tr w:rsidR="003576A5" w:rsidRPr="006C6C5B" w:rsidTr="00892A79">
        <w:trPr>
          <w:trHeight w:val="811"/>
        </w:trPr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Total wastewater flow</w:t>
            </w:r>
          </w:p>
        </w:tc>
        <w:tc>
          <w:tcPr>
            <w:tcW w:w="4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19,891,500 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(litre/day)</w:t>
            </w:r>
          </w:p>
        </w:tc>
      </w:tr>
    </w:tbl>
    <w:p w:rsidR="003576A5" w:rsidRDefault="003576A5" w:rsidP="0099387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30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1414"/>
        <w:gridCol w:w="2400"/>
        <w:gridCol w:w="2070"/>
        <w:gridCol w:w="1812"/>
        <w:gridCol w:w="216"/>
        <w:gridCol w:w="2241"/>
        <w:gridCol w:w="177"/>
      </w:tblGrid>
      <w:tr w:rsidR="003576A5" w:rsidRPr="006C6C5B" w:rsidTr="00892A79">
        <w:trPr>
          <w:trHeight w:val="1439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TextBox 2" o:spid="_x0000_s1031" type="#_x0000_t202" style="position:absolute;margin-left:-22.9pt;margin-top:-68.6pt;width:396pt;height:27.75pt;z-index:251659264;visibility:visible" filled="f" stroked="f">
                  <v:textbox>
                    <w:txbxContent>
                      <w:p w:rsidR="003576A5" w:rsidRPr="006C6C5B" w:rsidRDefault="003576A5" w:rsidP="00993870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Calibri" w:hAnsi="Calibri" w:cs="Arial"/>
                            <w:color w:val="000000"/>
                            <w:kern w:val="24"/>
                            <w:sz w:val="36"/>
                            <w:szCs w:val="36"/>
                          </w:rPr>
                        </w:pPr>
                        <w:r w:rsidRPr="006C6C5B">
                          <w:rPr>
                            <w:rFonts w:ascii="Calibri" w:hAnsi="Calibri" w:cs="Arial"/>
                            <w:color w:val="000000"/>
                            <w:kern w:val="24"/>
                            <w:sz w:val="36"/>
                            <w:szCs w:val="36"/>
                          </w:rPr>
                          <w:t>ii. Calculate the average BOD5 concentration</w:t>
                        </w:r>
                      </w:p>
                      <w:p w:rsidR="003576A5" w:rsidRPr="00480D53" w:rsidRDefault="003576A5" w:rsidP="00993870">
                        <w:pPr>
                          <w:pStyle w:val="NormalWeb"/>
                          <w:spacing w:before="0" w:beforeAutospacing="0" w:after="0" w:afterAutospacing="0"/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w:pic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Utility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Population </w:t>
            </w:r>
          </w:p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Equivalent </w:t>
            </w:r>
          </w:p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(PE)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BOD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  <w:lang w:val="en-GB"/>
              </w:rPr>
              <w:t>5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 xml:space="preserve"> (kg/day)</w:t>
            </w:r>
          </w:p>
        </w:tc>
        <w:tc>
          <w:tcPr>
            <w:tcW w:w="20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PE x BOD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  <w:lang w:val="en-GB"/>
              </w:rPr>
              <w:t>5</w:t>
            </w:r>
          </w:p>
        </w:tc>
        <w:tc>
          <w:tcPr>
            <w:tcW w:w="2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6A5" w:rsidRPr="006C6C5B" w:rsidTr="00892A79">
        <w:trPr>
          <w:trHeight w:val="669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Domestic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30 000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</w:p>
        </w:tc>
        <w:tc>
          <w:tcPr>
            <w:tcW w:w="20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30000x0.1</w:t>
            </w:r>
          </w:p>
        </w:tc>
        <w:tc>
          <w:tcPr>
            <w:tcW w:w="2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3576A5" w:rsidRPr="006C6C5B" w:rsidTr="00892A79">
        <w:trPr>
          <w:trHeight w:val="652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Hospital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650 bed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20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650x0.15</w:t>
            </w:r>
          </w:p>
        </w:tc>
        <w:tc>
          <w:tcPr>
            <w:tcW w:w="2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97.5</w:t>
            </w:r>
          </w:p>
        </w:tc>
      </w:tr>
      <w:tr w:rsidR="003576A5" w:rsidRPr="006C6C5B" w:rsidTr="00892A79">
        <w:trPr>
          <w:trHeight w:val="979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Restaurant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250 customers per day 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0.03</w:t>
            </w:r>
          </w:p>
        </w:tc>
        <w:tc>
          <w:tcPr>
            <w:tcW w:w="20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250x0.03</w:t>
            </w:r>
          </w:p>
        </w:tc>
        <w:tc>
          <w:tcPr>
            <w:tcW w:w="2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</w:tr>
      <w:tr w:rsidR="003576A5" w:rsidRPr="006C6C5B" w:rsidTr="00892A79">
        <w:trPr>
          <w:trHeight w:val="979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School with cafe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1500 students each 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</w:p>
        </w:tc>
        <w:tc>
          <w:tcPr>
            <w:tcW w:w="20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1500x0.1</w:t>
            </w:r>
          </w:p>
        </w:tc>
        <w:tc>
          <w:tcPr>
            <w:tcW w:w="2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3576A5" w:rsidRPr="006C6C5B" w:rsidTr="00892A79">
        <w:trPr>
          <w:trHeight w:val="1099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School without cafe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5400 student each 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0.03</w:t>
            </w:r>
          </w:p>
        </w:tc>
        <w:tc>
          <w:tcPr>
            <w:tcW w:w="20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5400x0.03</w:t>
            </w:r>
          </w:p>
        </w:tc>
        <w:tc>
          <w:tcPr>
            <w:tcW w:w="2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Line Callout 2 4" o:spid="_x0000_s1032" type="#_x0000_t48" style="position:absolute;margin-left:39.35pt;margin-top:42.65pt;width:99pt;height:60pt;z-index:251661312;visibility:visible;mso-position-horizontal-relative:text;mso-position-vertical-relative:text;v-text-anchor:middle" adj="4005,47537,7209,31541,11573,24832" strokecolor="#f79646" strokeweight="3pt">
                  <v:textbox>
                    <w:txbxContent>
                      <w:p w:rsidR="003576A5" w:rsidRDefault="003576A5" w:rsidP="0099387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C6C5B">
                          <w:rPr>
                            <w:rFonts w:ascii="Calibri" w:hAnsi="Calibri" w:cs="Arial"/>
                            <w:color w:val="000000"/>
                            <w:kern w:val="24"/>
                            <w:sz w:val="36"/>
                            <w:szCs w:val="36"/>
                            <w:u w:val="single"/>
                          </w:rPr>
                          <w:t>Kg/day</w:t>
                        </w:r>
                      </w:p>
                      <w:p w:rsidR="003576A5" w:rsidRDefault="003576A5" w:rsidP="0099387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C6C5B">
                          <w:rPr>
                            <w:rFonts w:ascii="Calibri" w:hAnsi="Calibri" w:cs="Arial"/>
                            <w:color w:val="000000"/>
                            <w:kern w:val="24"/>
                            <w:sz w:val="36"/>
                            <w:szCs w:val="36"/>
                            <w:u w:val="single"/>
                          </w:rPr>
                          <w:t>Liter/day</w:t>
                        </w:r>
                      </w:p>
                    </w:txbxContent>
                  </v:textbox>
                  <o:callout v:ext="edit" minusy="t"/>
                </v:shape>
              </w:pict>
            </w:r>
            <w:r w:rsidRPr="006C6C5B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</w:tr>
      <w:tr w:rsidR="003576A5" w:rsidRPr="006C6C5B" w:rsidTr="00892A79">
        <w:trPr>
          <w:gridAfter w:val="1"/>
          <w:wAfter w:w="177" w:type="dxa"/>
          <w:trHeight w:val="1167"/>
        </w:trPr>
        <w:tc>
          <w:tcPr>
            <w:tcW w:w="7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Line Callout 2 6" o:spid="_x0000_s1033" type="#_x0000_t48" style="position:absolute;margin-left:218.6pt;margin-top:24.4pt;width:126pt;height:65.25pt;z-index:251660288;visibility:visible;mso-position-horizontal-relative:text;mso-position-vertical-relative:text;v-text-anchor:middle" adj="28648,31709,27226,21305,21995,10595" strokecolor="#f79646" strokeweight="3pt">
                  <v:textbox>
                    <w:txbxContent>
                      <w:p w:rsidR="003576A5" w:rsidRDefault="003576A5" w:rsidP="0099387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C6C5B">
                          <w:rPr>
                            <w:rFonts w:ascii="Calibri" w:hAnsi="Calibri" w:cs="Arial"/>
                            <w:color w:val="000000"/>
                            <w:kern w:val="24"/>
                            <w:sz w:val="36"/>
                            <w:szCs w:val="36"/>
                          </w:rPr>
                          <w:t>Convert unit to mg/L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Total 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BOD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  <w:lang w:val="en-GB"/>
              </w:rPr>
              <w:t>5</w:t>
            </w:r>
          </w:p>
        </w:tc>
        <w:tc>
          <w:tcPr>
            <w:tcW w:w="2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3417</w:t>
            </w:r>
          </w:p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kg/day</w:t>
            </w:r>
          </w:p>
        </w:tc>
      </w:tr>
      <w:tr w:rsidR="003576A5" w:rsidRPr="006C6C5B" w:rsidTr="00892A79">
        <w:trPr>
          <w:gridAfter w:val="1"/>
          <w:wAfter w:w="177" w:type="dxa"/>
          <w:trHeight w:val="1439"/>
        </w:trPr>
        <w:tc>
          <w:tcPr>
            <w:tcW w:w="7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Average 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BOD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  <w:lang w:val="en-GB"/>
              </w:rPr>
              <w:t>5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 xml:space="preserve">  concentration</w:t>
            </w:r>
          </w:p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=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Total 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BOD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  <w:lang w:val="en-GB"/>
              </w:rPr>
              <w:t>5</w:t>
            </w: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 xml:space="preserve"> /Total wastewater flow rate</w:t>
            </w:r>
          </w:p>
        </w:tc>
        <w:tc>
          <w:tcPr>
            <w:tcW w:w="2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3417</w:t>
            </w:r>
          </w:p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19,891,500</w:t>
            </w:r>
          </w:p>
          <w:p w:rsidR="003576A5" w:rsidRPr="006C6C5B" w:rsidRDefault="003576A5" w:rsidP="00892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C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=0.000172 </w:t>
            </w:r>
          </w:p>
        </w:tc>
      </w:tr>
    </w:tbl>
    <w:p w:rsidR="003576A5" w:rsidRPr="00814681" w:rsidRDefault="003576A5" w:rsidP="00993870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3576A5" w:rsidRPr="00993870" w:rsidRDefault="003576A5" w:rsidP="00993870"/>
    <w:sectPr w:rsidR="003576A5" w:rsidRPr="00993870" w:rsidSect="004A771D">
      <w:footerReference w:type="default" r:id="rId12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6A5" w:rsidRDefault="003576A5" w:rsidP="00672E51">
      <w:pPr>
        <w:spacing w:after="0" w:line="240" w:lineRule="auto"/>
      </w:pPr>
      <w:r>
        <w:separator/>
      </w:r>
    </w:p>
  </w:endnote>
  <w:endnote w:type="continuationSeparator" w:id="1">
    <w:p w:rsidR="003576A5" w:rsidRDefault="003576A5" w:rsidP="00672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6A5" w:rsidRDefault="003576A5">
    <w:pPr>
      <w:pStyle w:val="Footer"/>
      <w:jc w:val="right"/>
    </w:pPr>
    <w:fldSimple w:instr="PAGE   \* MERGEFORMAT">
      <w:r w:rsidRPr="00993870">
        <w:rPr>
          <w:rFonts w:cs="Calibri"/>
          <w:noProof/>
          <w:lang w:val="ar-SA"/>
        </w:rPr>
        <w:t>7</w:t>
      </w:r>
    </w:fldSimple>
  </w:p>
  <w:p w:rsidR="003576A5" w:rsidRDefault="003576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6A5" w:rsidRDefault="003576A5" w:rsidP="00672E51">
      <w:pPr>
        <w:spacing w:after="0" w:line="240" w:lineRule="auto"/>
      </w:pPr>
      <w:r>
        <w:separator/>
      </w:r>
    </w:p>
  </w:footnote>
  <w:footnote w:type="continuationSeparator" w:id="1">
    <w:p w:rsidR="003576A5" w:rsidRDefault="003576A5" w:rsidP="00672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D2BE0"/>
    <w:multiLevelType w:val="hybridMultilevel"/>
    <w:tmpl w:val="A86E3024"/>
    <w:lvl w:ilvl="0" w:tplc="4F3E64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6E6CA4"/>
    <w:multiLevelType w:val="hybridMultilevel"/>
    <w:tmpl w:val="8F008AEC"/>
    <w:lvl w:ilvl="0" w:tplc="1C309C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B3607B"/>
    <w:multiLevelType w:val="hybridMultilevel"/>
    <w:tmpl w:val="1242DC60"/>
    <w:lvl w:ilvl="0" w:tplc="0E60E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3026F"/>
    <w:multiLevelType w:val="hybridMultilevel"/>
    <w:tmpl w:val="7F6AA89E"/>
    <w:lvl w:ilvl="0" w:tplc="48322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44522E"/>
    <w:multiLevelType w:val="hybridMultilevel"/>
    <w:tmpl w:val="5F1E99C6"/>
    <w:lvl w:ilvl="0" w:tplc="A79A6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FD6"/>
    <w:rsid w:val="000D0C1A"/>
    <w:rsid w:val="000E1CCF"/>
    <w:rsid w:val="000E25DB"/>
    <w:rsid w:val="000F2137"/>
    <w:rsid w:val="00125D40"/>
    <w:rsid w:val="001722F3"/>
    <w:rsid w:val="002374AE"/>
    <w:rsid w:val="00294711"/>
    <w:rsid w:val="002D49B3"/>
    <w:rsid w:val="00345BBD"/>
    <w:rsid w:val="003576A5"/>
    <w:rsid w:val="00390742"/>
    <w:rsid w:val="003B32B5"/>
    <w:rsid w:val="003E59D6"/>
    <w:rsid w:val="003E5A1A"/>
    <w:rsid w:val="00480D53"/>
    <w:rsid w:val="004974DD"/>
    <w:rsid w:val="004A771D"/>
    <w:rsid w:val="004B1ADD"/>
    <w:rsid w:val="005725B8"/>
    <w:rsid w:val="00583DD6"/>
    <w:rsid w:val="005B7A70"/>
    <w:rsid w:val="005B7DE6"/>
    <w:rsid w:val="0062089D"/>
    <w:rsid w:val="00672E51"/>
    <w:rsid w:val="006A008A"/>
    <w:rsid w:val="006B01D3"/>
    <w:rsid w:val="006C6C5B"/>
    <w:rsid w:val="00790395"/>
    <w:rsid w:val="007E14DE"/>
    <w:rsid w:val="007E3A78"/>
    <w:rsid w:val="007E4868"/>
    <w:rsid w:val="00814681"/>
    <w:rsid w:val="008161E2"/>
    <w:rsid w:val="008374F1"/>
    <w:rsid w:val="008704D8"/>
    <w:rsid w:val="00892A79"/>
    <w:rsid w:val="008D6B0F"/>
    <w:rsid w:val="008D76CF"/>
    <w:rsid w:val="008F7460"/>
    <w:rsid w:val="0090137F"/>
    <w:rsid w:val="00914997"/>
    <w:rsid w:val="00943C82"/>
    <w:rsid w:val="00993870"/>
    <w:rsid w:val="009A5500"/>
    <w:rsid w:val="009B531A"/>
    <w:rsid w:val="009B5C68"/>
    <w:rsid w:val="009D7652"/>
    <w:rsid w:val="009F0B14"/>
    <w:rsid w:val="00A14249"/>
    <w:rsid w:val="00A75B39"/>
    <w:rsid w:val="00B340AC"/>
    <w:rsid w:val="00B83E81"/>
    <w:rsid w:val="00B95B94"/>
    <w:rsid w:val="00C5611A"/>
    <w:rsid w:val="00C62B39"/>
    <w:rsid w:val="00C67A41"/>
    <w:rsid w:val="00D84EBA"/>
    <w:rsid w:val="00D97BA8"/>
    <w:rsid w:val="00DD0E60"/>
    <w:rsid w:val="00DD2D9D"/>
    <w:rsid w:val="00DD400E"/>
    <w:rsid w:val="00E2011B"/>
    <w:rsid w:val="00E44817"/>
    <w:rsid w:val="00EA5238"/>
    <w:rsid w:val="00EC5346"/>
    <w:rsid w:val="00EF1ED6"/>
    <w:rsid w:val="00F44602"/>
    <w:rsid w:val="00F635FB"/>
    <w:rsid w:val="00F803B1"/>
    <w:rsid w:val="00FA58CB"/>
    <w:rsid w:val="00FC5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C8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7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D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72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72E5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72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72E51"/>
    <w:rPr>
      <w:rFonts w:cs="Times New Roman"/>
    </w:rPr>
  </w:style>
  <w:style w:type="paragraph" w:styleId="ListParagraph">
    <w:name w:val="List Paragraph"/>
    <w:basedOn w:val="Normal"/>
    <w:uiPriority w:val="99"/>
    <w:qFormat/>
    <w:rsid w:val="00993870"/>
    <w:pPr>
      <w:ind w:left="720"/>
    </w:pPr>
  </w:style>
  <w:style w:type="character" w:styleId="Strong">
    <w:name w:val="Strong"/>
    <w:basedOn w:val="DefaultParagraphFont"/>
    <w:uiPriority w:val="99"/>
    <w:qFormat/>
    <w:locked/>
    <w:rsid w:val="00993870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993870"/>
    <w:rPr>
      <w:rFonts w:cs="Times New Roman"/>
    </w:rPr>
  </w:style>
  <w:style w:type="paragraph" w:styleId="NormalWeb">
    <w:name w:val="Normal (Web)"/>
    <w:basedOn w:val="Normal"/>
    <w:uiPriority w:val="99"/>
    <w:semiHidden/>
    <w:rsid w:val="0099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278</TotalTime>
  <Pages>7</Pages>
  <Words>956</Words>
  <Characters>5455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</dc:creator>
  <cp:keywords/>
  <dc:description/>
  <cp:lastModifiedBy>كلية الهندسة</cp:lastModifiedBy>
  <cp:revision>17</cp:revision>
  <dcterms:created xsi:type="dcterms:W3CDTF">2014-10-10T12:51:00Z</dcterms:created>
  <dcterms:modified xsi:type="dcterms:W3CDTF">2016-01-19T16:49:00Z</dcterms:modified>
</cp:coreProperties>
</file>