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8D" w:rsidRDefault="0068078D" w:rsidP="0082326F">
      <w:pPr>
        <w:pStyle w:val="1"/>
        <w:bidi/>
        <w:jc w:val="center"/>
        <w:rPr>
          <w:rFonts w:ascii="Microsoft Sans Serif" w:hAnsi="Microsoft Sans Serif" w:cs="PT Simple Bold Ruled" w:hint="cs"/>
          <w:b/>
          <w:bCs/>
          <w:sz w:val="32"/>
          <w:szCs w:val="32"/>
          <w:rtl/>
          <w:lang w:bidi="ar-IQ"/>
        </w:rPr>
      </w:pPr>
      <w:r>
        <w:rPr>
          <w:rFonts w:ascii="Microsoft Sans Serif" w:hAnsi="Microsoft Sans Serif" w:cs="PT Simple Bold Ruled" w:hint="cs"/>
          <w:b/>
          <w:bCs/>
          <w:sz w:val="32"/>
          <w:szCs w:val="32"/>
          <w:rtl/>
          <w:lang w:bidi="ar-IQ"/>
        </w:rPr>
        <w:t xml:space="preserve">المحاضرة 31 </w:t>
      </w:r>
    </w:p>
    <w:p w:rsidR="0082326F" w:rsidRPr="005901EC" w:rsidRDefault="0082326F" w:rsidP="0068078D">
      <w:pPr>
        <w:pStyle w:val="1"/>
        <w:bidi/>
        <w:jc w:val="center"/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</w:pPr>
      <w:r w:rsidRPr="005901EC"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  <w:t>هيئة النزاهة</w:t>
      </w:r>
    </w:p>
    <w:p w:rsidR="0082326F" w:rsidRPr="005901EC" w:rsidRDefault="0082326F" w:rsidP="0082326F">
      <w:pPr>
        <w:pStyle w:val="1"/>
        <w:bidi/>
        <w:jc w:val="center"/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</w:pPr>
      <w:r w:rsidRPr="005901EC"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  <w:t>القانون رقم (30)لسنة 2011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هي هيئة مستقلة مالياً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وادارياً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ولها شخصية معنوية وتخضع لرقابة مجلس النواب ويمثلها رئيسها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من يخوله ، وتعمل على المساهمة في منع الفساد ومكافحته واعتماد الشفافية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ادارة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شؤون الحكم على جميع المستويات عن طريق :-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1- التحقيق في قضايا الفساد وطبقاً لهذا القانون بواسطة محققين تحت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اشراف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قاض تحقيق مختص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2- متابعة قضايا الفساد التي لا يقوم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محققوا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الهيئة بالتحقيق فيها عن طريق ممثل قانوني عن الهيئة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3- تنمية ثقافة القطاعين العام والخاص تقدر الاستقامة والنزاهة الشخصية والتزام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اخلاقيات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الخدمة العامة واعتماد الشفافية والخضوع للمساءلة والاستجواب عبر البرامج العامة للتوعية والتثقيف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4-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اعداد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مشروعات القوانين فيما يسهم في منع الفساد ومكافحته ورفعها للسلطة التشريعية عن طريق رئيس الجمهورية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مجلس الوزراء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اللجنة البرلمانية المختصة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5- تعزيز ثقة الشعب بالحكومة عبر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الزام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المسؤولين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فيها بالكشف عن ذممهم المالية وما لديهم من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انشطة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خارجية واستثمارات وموجودات وهبات ...ومنافع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يشكل مجلس النواب لجنة من 9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اعضاء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من لجنة النزاهة والقانونية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لأختيار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(3) مرشحين لمنصب رئيس الهيئة ويصادق مجلس النواب على احدهم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بالاغلبية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المطلقة لعدد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اعضاءه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ورئيس الهيئة بدرجة وزير معين لمدة (5) سنوات ويشترط فيه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اضافة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الشروط العامة لتولي الوظائف العامة : 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1- حاصلاً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الاقل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على شهادة جامعية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اولية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في القانون وله ممارسة فعلية في اختصاصه مدة لا تقل عن (10) سنوات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2-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يكون عراقياً وغير محكوم عليه بجناية غير سياسية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جنحة مخلة بالشرف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3-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يتسم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باعلى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معايير السلوك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الاخلاقي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والنزاهة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والامانة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4-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لا يكون قد رأس الهيئة لفترتين سواء كانت متتاليتين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غير متتاليتين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5-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لا يقل عمره عن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اربعين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سنة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6-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يكون مستقلاً ولا ينتمي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لاية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جهة سياسية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7-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لا يكون</w:t>
      </w:r>
      <w:r w:rsidRPr="005901EC">
        <w:rPr>
          <w:sz w:val="32"/>
          <w:szCs w:val="32"/>
          <w:lang w:bidi="ar-IQ"/>
        </w:rPr>
        <w:t xml:space="preserve"> </w:t>
      </w:r>
      <w:r w:rsidRPr="005901EC">
        <w:rPr>
          <w:rFonts w:hint="cs"/>
          <w:sz w:val="32"/>
          <w:szCs w:val="32"/>
          <w:rtl/>
          <w:lang w:bidi="ar-IQ"/>
        </w:rPr>
        <w:t xml:space="preserve"> مشمول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باجراءات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المساءلة والعدالة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ويعفى الرئيس بنفس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اجراءات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التي يتم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اعفاء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الوزير بموجبها وله نائبين يعينان بذات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الاسلوب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الذي يعين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الرئيس على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يحمل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الاول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شهادة قانون والثاني شهادة تربوية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اعلامية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</w:p>
    <w:p w:rsidR="0082326F" w:rsidRPr="005901EC" w:rsidRDefault="0082326F" w:rsidP="0082326F">
      <w:pPr>
        <w:pStyle w:val="1"/>
        <w:bidi/>
        <w:jc w:val="center"/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</w:pPr>
      <w:r w:rsidRPr="005901EC"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  <w:lastRenderedPageBreak/>
        <w:t>صلاحيات هيئة النزاهة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للهيئة صلاحية التحقيق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قضية فساد بواسطة احد محققيها وتحت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اشراف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قاض التحقيق المختص ويرجح اختصاص الهيئة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في قضايا الفساد على اختصاص الجهات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الاخرى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بضمنها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الجهات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العسكرية والجهات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لدى قوى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الامن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الداخلي ويتوجب على تلك الجهات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ايداع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الاوراق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والوثائق والبيانات المتعلقة بالقضية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هيئة النزاهة متى اختارت الهيئة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اكمال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التحقيق فيها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وتكون الهيئة طرفاً في كل قضية فساد لا يجري التحقيق فيها بواسطة احد محققي دائرة التحقيقات ولها متابعتها بواسطة ممثل قانوني بوكالة رسمية وللهيئة حق الطعن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الاحكام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والقرارات الصادرة فيها وتلتزم جميع الدوائر والهيئات ومؤسسات الدولة بتزويد الهيئة بما تطلبه من وثائق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واوليات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ومعلومات التي تتعلق بالقضية التي يراد التحري والتحقيق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بها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</w:p>
    <w:p w:rsidR="0082326F" w:rsidRPr="005901EC" w:rsidRDefault="0082326F" w:rsidP="0082326F">
      <w:pPr>
        <w:pStyle w:val="1"/>
        <w:bidi/>
        <w:jc w:val="center"/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</w:pPr>
      <w:r w:rsidRPr="005901EC">
        <w:rPr>
          <w:rFonts w:ascii="Microsoft Sans Serif" w:hAnsi="Microsoft Sans Serif" w:cs="PT Simple Bold Ruled"/>
          <w:b/>
          <w:bCs/>
          <w:sz w:val="32"/>
          <w:szCs w:val="32"/>
          <w:rtl/>
          <w:lang w:bidi="ar-IQ"/>
        </w:rPr>
        <w:t>الكسب غير المشروع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تصدر الهيئة لائحة تنظيمية تنشر في الجريدة الرسمية لتنظيم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احكام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ومبادئ الالتزام بتقديم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تقاريرالكشف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عن الذمم المالية من المكلفين بتقديمها طبقاً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لاحكام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هذا القانون ويكون كل شخص يشغل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احدى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الوظائف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المناصب التالية مكلفاً بتقديم تقرير الكشف عن الذمة المالية :-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>1- رئيس الجمهورية ونوابه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2-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اعضاء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السلطة التشريعية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>3- رئيس الوزراء ونوابه والوزراء ومن هم بدرجتهم ووكلائهم والموظفين بدرجة خاصة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4- رئيس مجلس القضاء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الاعلى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والقضاة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5- رؤساء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الاقاليم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ورؤساء وزراءها والوزراء ووكلائهم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6- المحافظون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واعضاء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مجالس المحافظات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7- رؤساء الهيئات المستقلة ووكلائهم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نوابهم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>8- السفراء والقناصل والملاحق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9- قادة الفيالق والفرق ورؤساء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الاجهزة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الامنية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10- المدراء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العامون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ومن هم بدرجتهم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ومحققوا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الهيئة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>11- الضباط من رتبة مقدم فما فوق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>12- كل من ترى الهيئة ضرورة الكشف عن ذمته المالية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وكل زيادة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اموال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المكلف بتقديم تقرير الكشف عن الذمة المالية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اموال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زوجه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اولاده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التابعين له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لايتناسب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مع مواردهم العادية يعد كسباً غير مشروع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مالم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يثبت المكلف انه قد تم كسبه من مصادر مشروعة وترفع الهيئة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امر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من تنسب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اليه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كسباً غير مشروع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قاضي التحقيق الذي يقيم المكلف ضمن اختصاصه المكاني لينظر </w:t>
      </w:r>
      <w:r w:rsidRPr="005901EC">
        <w:rPr>
          <w:rFonts w:hint="cs"/>
          <w:sz w:val="32"/>
          <w:szCs w:val="32"/>
          <w:rtl/>
          <w:lang w:bidi="ar-IQ"/>
        </w:rPr>
        <w:lastRenderedPageBreak/>
        <w:t xml:space="preserve">في تكليفه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باثبات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مصادر مشروعة للزيادة التي ظهرت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امواله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اموال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زوجه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اولاده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التابعين له خلال مدة يحددها على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لا تقل عن (90) يوم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وكل من تخلف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عجز بعد تكليفه من قبل قاضي التحقيق من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اثبات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مصادر مشروعة للزيادة في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امواله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زوجه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اولاده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لايتناسب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مع مواردهم يعاقب بالحبس وبغرامة مساوية لقيمة الكسب غير المشروع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باحدى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هاتين العقوبتين ومصادرة الكسب غير المشروع مع مراعاة العقوبات المنصوص عليها في القوانين النافذة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وتؤدي الهيئة واجباتها في ميدان منع الفساد ومكافحته بالتعاون مع ديوان الرقابة المالية ومكاتب المفتشين العموميين ويعمل ديوان الرقابة المالية بوصفه الجهة العليا للتدقيق المالي والمحاسبي وهو المعني بالكشف عن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اعمال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الفساد والغش والتبذير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واساءة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التصرف وفقاً للقانون ويودع جميع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الادلة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عن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اعمال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الغش والتبذير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واساءة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التصرف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المفتش العام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المختض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ليتخذ المفتش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مايلزم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بشأن تقارير الديوان ويجري التحري والتحقيق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الاداري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اللازم ويقدم نتائج ذلك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الوزير المعني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رئيس الجهة غير المرتبطة بوزارة وعليه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اخبار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الهيئة والجهات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المناسبة بكل ما يعد جريمة وفق القوانين النافذة .</w:t>
      </w:r>
    </w:p>
    <w:p w:rsidR="0082326F" w:rsidRPr="005901EC" w:rsidRDefault="0082326F" w:rsidP="0082326F">
      <w:pPr>
        <w:pStyle w:val="1"/>
        <w:bidi/>
        <w:jc w:val="both"/>
        <w:rPr>
          <w:sz w:val="32"/>
          <w:szCs w:val="32"/>
          <w:rtl/>
          <w:lang w:bidi="ar-IQ"/>
        </w:rPr>
      </w:pPr>
      <w:r w:rsidRPr="005901EC">
        <w:rPr>
          <w:rFonts w:hint="cs"/>
          <w:sz w:val="32"/>
          <w:szCs w:val="32"/>
          <w:rtl/>
          <w:lang w:bidi="ar-IQ"/>
        </w:rPr>
        <w:t xml:space="preserve">وتعد هيئة النزاهة الهيئة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المختصة من بين الجهات الثلاثة لاتخاذ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الاجراءات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التحقيقية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الجزائية المناسبة بشأن التحقيق بقضايا الفساد ، ويقدم رئيس الهيئة تقريراً سنوياً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مجلس النواب ومجلس الوزراء خلال 120 يوم من تأريخ انتهاء السنة يتضمن ملخصاً حول نشاطات الهيئة وانجازاتها في الميدان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التحقيقي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وفي ميدان تنمية ثقافة النزاهة والشفافية والخضوع للمساءلة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واخلاقيات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الخدمة العامة وفي ميدان ملاحقة الكسب غير المشروع ويتيحه لوسائل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الاعلام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والجمهور كما تخضع لرقابة ديوان الرقابة المالية الذي يرفع تقاريره بشأنها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مجلس النواب ويعلنها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الى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وسائل </w:t>
      </w:r>
      <w:proofErr w:type="spellStart"/>
      <w:r w:rsidRPr="005901EC">
        <w:rPr>
          <w:rFonts w:hint="cs"/>
          <w:sz w:val="32"/>
          <w:szCs w:val="32"/>
          <w:rtl/>
          <w:lang w:bidi="ar-IQ"/>
        </w:rPr>
        <w:t>الاعلام</w:t>
      </w:r>
      <w:proofErr w:type="spellEnd"/>
      <w:r w:rsidRPr="005901EC">
        <w:rPr>
          <w:rFonts w:hint="cs"/>
          <w:sz w:val="32"/>
          <w:szCs w:val="32"/>
          <w:rtl/>
          <w:lang w:bidi="ar-IQ"/>
        </w:rPr>
        <w:t xml:space="preserve"> والجمهور .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PT Simple Bold Rul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82326F"/>
    <w:rsid w:val="005C3527"/>
    <w:rsid w:val="005D3FD4"/>
    <w:rsid w:val="0068078D"/>
    <w:rsid w:val="0082326F"/>
    <w:rsid w:val="00FD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بلا تباعد1"/>
    <w:qFormat/>
    <w:rsid w:val="0082326F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2015-12-15T15:25:00Z</dcterms:created>
  <dcterms:modified xsi:type="dcterms:W3CDTF">2015-12-16T15:31:00Z</dcterms:modified>
</cp:coreProperties>
</file>