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9F" w:rsidRPr="00D1049F" w:rsidRDefault="00D1049F" w:rsidP="00623086">
      <w:pPr>
        <w:spacing w:line="360" w:lineRule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Antibody</w:t>
      </w:r>
      <w:r w:rsidRPr="00D1049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623086">
        <w:rPr>
          <w:rFonts w:asciiTheme="majorBidi" w:hAnsiTheme="majorBidi" w:cstheme="majorBidi"/>
          <w:b/>
          <w:bCs/>
          <w:sz w:val="32"/>
          <w:szCs w:val="32"/>
        </w:rPr>
        <w:t>S</w:t>
      </w:r>
      <w:r w:rsidRPr="00D1049F">
        <w:rPr>
          <w:rFonts w:asciiTheme="majorBidi" w:hAnsiTheme="majorBidi" w:cstheme="majorBidi"/>
          <w:b/>
          <w:bCs/>
          <w:sz w:val="32"/>
          <w:szCs w:val="32"/>
        </w:rPr>
        <w:t>eparation</w:t>
      </w:r>
    </w:p>
    <w:p w:rsidR="00282E95" w:rsidRPr="00282E95" w:rsidRDefault="00282E95" w:rsidP="00D1049F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282E95">
        <w:rPr>
          <w:rFonts w:asciiTheme="majorBidi" w:hAnsiTheme="majorBidi" w:cstheme="majorBidi"/>
          <w:sz w:val="28"/>
          <w:szCs w:val="28"/>
        </w:rPr>
        <w:t xml:space="preserve">Antibody </w:t>
      </w:r>
      <w:r w:rsidR="00D1049F" w:rsidRPr="00D1049F">
        <w:rPr>
          <w:rFonts w:asciiTheme="majorBidi" w:hAnsiTheme="majorBidi" w:cstheme="majorBidi"/>
          <w:sz w:val="28"/>
          <w:szCs w:val="28"/>
        </w:rPr>
        <w:t xml:space="preserve">separation </w:t>
      </w:r>
      <w:r w:rsidRPr="00282E95">
        <w:rPr>
          <w:rFonts w:asciiTheme="majorBidi" w:hAnsiTheme="majorBidi" w:cstheme="majorBidi"/>
          <w:sz w:val="28"/>
          <w:szCs w:val="28"/>
        </w:rPr>
        <w:t>can be achieved by different means which are listed below:</w:t>
      </w:r>
    </w:p>
    <w:p w:rsidR="00282E95" w:rsidRPr="00282E95" w:rsidRDefault="00282E95" w:rsidP="00282E95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82E95">
        <w:rPr>
          <w:rFonts w:asciiTheme="majorBidi" w:hAnsiTheme="majorBidi" w:cstheme="majorBidi"/>
          <w:b/>
          <w:bCs/>
          <w:sz w:val="28"/>
          <w:szCs w:val="28"/>
        </w:rPr>
        <w:t>1. Precipitation with Ammonium Sulfate</w:t>
      </w:r>
    </w:p>
    <w:p w:rsidR="00282E95" w:rsidRPr="00282E95" w:rsidRDefault="00282E95" w:rsidP="00D1049F">
      <w:pPr>
        <w:spacing w:line="360" w:lineRule="auto"/>
        <w:ind w:firstLine="720"/>
        <w:rPr>
          <w:rFonts w:asciiTheme="majorBidi" w:hAnsiTheme="majorBidi" w:cstheme="majorBidi"/>
          <w:sz w:val="28"/>
          <w:szCs w:val="28"/>
        </w:rPr>
      </w:pPr>
      <w:r w:rsidRPr="00282E95">
        <w:rPr>
          <w:rFonts w:asciiTheme="majorBidi" w:hAnsiTheme="majorBidi" w:cstheme="majorBidi"/>
          <w:sz w:val="28"/>
          <w:szCs w:val="28"/>
        </w:rPr>
        <w:t>Protein precipitation achieves separation by the conversion of soluble proteins to an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insoluble state, which subsequently can be removed by various means. Ionic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precipitation, utilizing inorganic salts like ammonium sulfate, is the most common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precipitation method. Ammonium sulfate has several advantages:</w:t>
      </w:r>
    </w:p>
    <w:p w:rsidR="00282E95" w:rsidRPr="00282E95" w:rsidRDefault="00282E95" w:rsidP="00282E95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282E95">
        <w:rPr>
          <w:rFonts w:asciiTheme="majorBidi" w:hAnsiTheme="majorBidi" w:cstheme="majorBidi"/>
          <w:sz w:val="28"/>
          <w:szCs w:val="28"/>
        </w:rPr>
        <w:t>• At saturation, it is of sufficiently high molarity that it causes the precipitation of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most proteins.</w:t>
      </w:r>
    </w:p>
    <w:p w:rsidR="00282E95" w:rsidRPr="00282E95" w:rsidRDefault="00282E95" w:rsidP="00282E95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282E95">
        <w:rPr>
          <w:rFonts w:asciiTheme="majorBidi" w:hAnsiTheme="majorBidi" w:cstheme="majorBidi"/>
          <w:sz w:val="28"/>
          <w:szCs w:val="28"/>
        </w:rPr>
        <w:t>• Its saturated solution has a density that does not interfere with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sedimentation of most precipitated proteins by centrifugation.</w:t>
      </w:r>
    </w:p>
    <w:p w:rsidR="00282E95" w:rsidRPr="00282E95" w:rsidRDefault="00282E95" w:rsidP="00282E95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282E95">
        <w:rPr>
          <w:rFonts w:asciiTheme="majorBidi" w:hAnsiTheme="majorBidi" w:cstheme="majorBidi"/>
          <w:sz w:val="28"/>
          <w:szCs w:val="28"/>
        </w:rPr>
        <w:t>• Its concentrated solutions are generally bacteriostatic.</w:t>
      </w:r>
    </w:p>
    <w:p w:rsidR="00282E95" w:rsidRPr="00282E95" w:rsidRDefault="00282E95" w:rsidP="00282E95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282E95">
        <w:rPr>
          <w:rFonts w:asciiTheme="majorBidi" w:hAnsiTheme="majorBidi" w:cstheme="majorBidi"/>
          <w:sz w:val="28"/>
          <w:szCs w:val="28"/>
        </w:rPr>
        <w:t>• In solution, it protects most proteins from denaturation.</w:t>
      </w:r>
    </w:p>
    <w:p w:rsidR="00282E95" w:rsidRPr="00282E95" w:rsidRDefault="00282E95" w:rsidP="00282E95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282E95">
        <w:rPr>
          <w:rFonts w:asciiTheme="majorBidi" w:hAnsiTheme="majorBidi" w:cstheme="majorBidi"/>
          <w:sz w:val="28"/>
          <w:szCs w:val="28"/>
        </w:rPr>
        <w:t>The concentration of ammonium sulfate required for precipitation varies from protein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to protein and should be determined empirically.</w:t>
      </w:r>
    </w:p>
    <w:p w:rsidR="00282E95" w:rsidRPr="00282E95" w:rsidRDefault="00282E95" w:rsidP="00282E95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82E95">
        <w:rPr>
          <w:rFonts w:asciiTheme="majorBidi" w:hAnsiTheme="majorBidi" w:cstheme="majorBidi"/>
          <w:b/>
          <w:bCs/>
          <w:sz w:val="28"/>
          <w:szCs w:val="28"/>
        </w:rPr>
        <w:t>2. Affinity Chromatography using Protein A/ Protein G</w:t>
      </w:r>
    </w:p>
    <w:p w:rsidR="00D1049F" w:rsidRDefault="00282E95" w:rsidP="00D1049F">
      <w:pPr>
        <w:spacing w:line="360" w:lineRule="auto"/>
        <w:ind w:firstLine="720"/>
        <w:rPr>
          <w:rFonts w:asciiTheme="majorBidi" w:hAnsiTheme="majorBidi" w:cstheme="majorBidi"/>
          <w:i/>
          <w:iCs/>
          <w:sz w:val="28"/>
          <w:szCs w:val="28"/>
        </w:rPr>
      </w:pPr>
      <w:r w:rsidRPr="00282E95">
        <w:rPr>
          <w:rFonts w:asciiTheme="majorBidi" w:hAnsiTheme="majorBidi" w:cstheme="majorBidi"/>
          <w:sz w:val="28"/>
          <w:szCs w:val="28"/>
        </w:rPr>
        <w:t xml:space="preserve">Protein A is a cell wall component produced by several strains of </w:t>
      </w:r>
      <w:r w:rsidRPr="00282E95">
        <w:rPr>
          <w:rFonts w:asciiTheme="majorBidi" w:hAnsiTheme="majorBidi" w:cstheme="majorBidi"/>
          <w:i/>
          <w:iCs/>
          <w:sz w:val="28"/>
          <w:szCs w:val="28"/>
        </w:rPr>
        <w:t>Staphylococcus</w:t>
      </w:r>
      <w:r w:rsidR="00D1049F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i/>
          <w:iCs/>
          <w:sz w:val="28"/>
          <w:szCs w:val="28"/>
        </w:rPr>
        <w:t>aureus</w:t>
      </w:r>
      <w:r w:rsidRPr="00282E95">
        <w:rPr>
          <w:rFonts w:asciiTheme="majorBidi" w:hAnsiTheme="majorBidi" w:cstheme="majorBidi"/>
          <w:sz w:val="28"/>
          <w:szCs w:val="28"/>
        </w:rPr>
        <w:t>. It has the ability to specifically bind to the Fc region of immunoglobulin</w:t>
      </w:r>
      <w:r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molecules, especially IgG</w:t>
      </w:r>
      <w:bookmarkStart w:id="0" w:name="_GoBack"/>
      <w:bookmarkEnd w:id="0"/>
      <w:r w:rsidRPr="00282E95">
        <w:rPr>
          <w:rFonts w:asciiTheme="majorBidi" w:hAnsiTheme="majorBidi" w:cstheme="majorBidi"/>
          <w:sz w:val="28"/>
          <w:szCs w:val="28"/>
        </w:rPr>
        <w:t xml:space="preserve"> (</w:t>
      </w:r>
      <w:r w:rsidRPr="00282E95">
        <w:rPr>
          <w:rFonts w:asciiTheme="majorBidi" w:hAnsiTheme="majorBidi" w:cstheme="majorBidi"/>
          <w:b/>
          <w:bCs/>
          <w:sz w:val="28"/>
          <w:szCs w:val="28"/>
        </w:rPr>
        <w:t>Figure 4</w:t>
      </w:r>
      <w:r w:rsidRPr="00282E95">
        <w:rPr>
          <w:rFonts w:asciiTheme="majorBidi" w:hAnsiTheme="majorBidi" w:cstheme="majorBidi"/>
          <w:sz w:val="28"/>
          <w:szCs w:val="28"/>
        </w:rPr>
        <w:t>). The interaction between Protein A and IgG is</w:t>
      </w:r>
      <w:r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not equivalent for all species, and even within a species, Protein A interacts with</w:t>
      </w:r>
      <w:r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 xml:space="preserve">some IgG subgroups and not with others. </w:t>
      </w:r>
    </w:p>
    <w:p w:rsidR="00623086" w:rsidRDefault="00282E95" w:rsidP="00623086">
      <w:pPr>
        <w:spacing w:line="360" w:lineRule="auto"/>
        <w:ind w:firstLine="720"/>
        <w:rPr>
          <w:rFonts w:asciiTheme="majorBidi" w:hAnsiTheme="majorBidi" w:cstheme="majorBidi"/>
          <w:noProof/>
          <w:sz w:val="28"/>
          <w:szCs w:val="28"/>
        </w:rPr>
      </w:pPr>
      <w:r w:rsidRPr="00282E95">
        <w:rPr>
          <w:rFonts w:asciiTheme="majorBidi" w:hAnsiTheme="majorBidi" w:cstheme="majorBidi"/>
          <w:sz w:val="28"/>
          <w:szCs w:val="28"/>
        </w:rPr>
        <w:lastRenderedPageBreak/>
        <w:t>Protein G is a bacterial cell wall protein isolated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from group G streptococci. Like Protein A from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i/>
          <w:iCs/>
          <w:sz w:val="28"/>
          <w:szCs w:val="28"/>
        </w:rPr>
        <w:t>Staphylococcus aureus</w:t>
      </w:r>
      <w:r w:rsidRPr="00282E95">
        <w:rPr>
          <w:rFonts w:asciiTheme="majorBidi" w:hAnsiTheme="majorBidi" w:cstheme="majorBidi"/>
          <w:sz w:val="28"/>
          <w:szCs w:val="28"/>
        </w:rPr>
        <w:t>, Protein G binds to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623086">
        <w:rPr>
          <w:rFonts w:asciiTheme="majorBidi" w:hAnsiTheme="majorBidi" w:cstheme="majorBidi"/>
          <w:sz w:val="28"/>
          <w:szCs w:val="28"/>
        </w:rPr>
        <w:t>most mammalian immunoglobulin</w:t>
      </w:r>
      <w:r w:rsidRPr="00282E95">
        <w:rPr>
          <w:rFonts w:asciiTheme="majorBidi" w:hAnsiTheme="majorBidi" w:cstheme="majorBidi"/>
          <w:sz w:val="28"/>
          <w:szCs w:val="28"/>
        </w:rPr>
        <w:t xml:space="preserve"> through their</w:t>
      </w:r>
      <w:r w:rsidR="00623086"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Fc regions. The unique immunoglobulin binding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characteristics of Protein G can be used for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purification of mammalian monoclonal and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polyclonal antibodies that do not bind well to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Protein A. Protein G is reported to bind with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greater affinity to most ma</w:t>
      </w:r>
      <w:r w:rsidR="00623086">
        <w:rPr>
          <w:rFonts w:asciiTheme="majorBidi" w:hAnsiTheme="majorBidi" w:cstheme="majorBidi"/>
          <w:sz w:val="28"/>
          <w:szCs w:val="28"/>
        </w:rPr>
        <w:t>mmalian immunoglobulin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that does Protein A. It also binds with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significantly greater affinity to several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immunog</w:t>
      </w:r>
      <w:r w:rsidR="00623086">
        <w:rPr>
          <w:rFonts w:asciiTheme="majorBidi" w:hAnsiTheme="majorBidi" w:cstheme="majorBidi"/>
          <w:sz w:val="28"/>
          <w:szCs w:val="28"/>
        </w:rPr>
        <w:t>lobulin subclasses.</w:t>
      </w:r>
      <w:r w:rsidR="00623086" w:rsidRPr="00623086">
        <w:rPr>
          <w:rFonts w:asciiTheme="majorBidi" w:hAnsiTheme="majorBidi" w:cstheme="majorBidi"/>
          <w:noProof/>
          <w:sz w:val="28"/>
          <w:szCs w:val="28"/>
        </w:rPr>
        <w:t xml:space="preserve"> </w:t>
      </w:r>
      <w:r w:rsidR="00623086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19912632" wp14:editId="70731B49">
            <wp:extent cx="5981700" cy="57721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577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086" w:rsidRDefault="00282E95" w:rsidP="00623086">
      <w:pPr>
        <w:spacing w:line="360" w:lineRule="auto"/>
        <w:ind w:firstLine="720"/>
        <w:rPr>
          <w:rFonts w:asciiTheme="majorBidi" w:hAnsiTheme="majorBidi" w:cstheme="majorBidi"/>
          <w:sz w:val="28"/>
          <w:szCs w:val="28"/>
        </w:rPr>
      </w:pPr>
      <w:r w:rsidRPr="00282E95">
        <w:rPr>
          <w:rFonts w:asciiTheme="majorBidi" w:hAnsiTheme="majorBidi" w:cstheme="majorBidi"/>
          <w:sz w:val="28"/>
          <w:szCs w:val="28"/>
        </w:rPr>
        <w:lastRenderedPageBreak/>
        <w:t>Agarose or Sepharose covalently coupled to Protein A or Protein G can be used as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an affinity support for</w:t>
      </w:r>
      <w:r w:rsidR="00623086">
        <w:rPr>
          <w:rFonts w:asciiTheme="majorBidi" w:hAnsiTheme="majorBidi" w:cstheme="majorBidi"/>
          <w:sz w:val="28"/>
          <w:szCs w:val="28"/>
        </w:rPr>
        <w:t xml:space="preserve"> the isolation of immunoglobulin molecules.</w:t>
      </w:r>
    </w:p>
    <w:p w:rsidR="00282E95" w:rsidRPr="00623086" w:rsidRDefault="00282E95" w:rsidP="00623086">
      <w:pPr>
        <w:spacing w:line="360" w:lineRule="auto"/>
        <w:ind w:firstLine="720"/>
        <w:rPr>
          <w:rFonts w:asciiTheme="majorBidi" w:hAnsiTheme="majorBidi" w:cstheme="majorBidi"/>
          <w:noProof/>
          <w:sz w:val="28"/>
          <w:szCs w:val="28"/>
        </w:rPr>
      </w:pPr>
      <w:r w:rsidRPr="00282E95">
        <w:rPr>
          <w:rFonts w:asciiTheme="majorBidi" w:hAnsiTheme="majorBidi" w:cstheme="majorBidi"/>
          <w:sz w:val="28"/>
          <w:szCs w:val="28"/>
        </w:rPr>
        <w:t>Serum is loaded onto a column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which is filled with Sepharose co</w:t>
      </w:r>
      <w:r w:rsidR="00623086">
        <w:rPr>
          <w:rFonts w:asciiTheme="majorBidi" w:hAnsiTheme="majorBidi" w:cstheme="majorBidi"/>
          <w:sz w:val="28"/>
          <w:szCs w:val="28"/>
        </w:rPr>
        <w:t>upled to protein so that the immunoglobulin</w:t>
      </w:r>
      <w:r w:rsidRPr="00282E95">
        <w:rPr>
          <w:rFonts w:asciiTheme="majorBidi" w:hAnsiTheme="majorBidi" w:cstheme="majorBidi"/>
          <w:sz w:val="28"/>
          <w:szCs w:val="28"/>
        </w:rPr>
        <w:t xml:space="preserve"> present in the serum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 xml:space="preserve">can be bound. The rest of the serum proteins will flow through and the </w:t>
      </w:r>
      <w:r w:rsidR="00623086">
        <w:rPr>
          <w:rFonts w:asciiTheme="majorBidi" w:hAnsiTheme="majorBidi" w:cstheme="majorBidi"/>
          <w:sz w:val="28"/>
          <w:szCs w:val="28"/>
        </w:rPr>
        <w:t>immunoglobulin</w:t>
      </w:r>
      <w:r w:rsidRPr="00282E95">
        <w:rPr>
          <w:rFonts w:asciiTheme="majorBidi" w:hAnsiTheme="majorBidi" w:cstheme="majorBidi"/>
          <w:sz w:val="28"/>
          <w:szCs w:val="28"/>
        </w:rPr>
        <w:t xml:space="preserve"> can be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623086" w:rsidRPr="00282E95">
        <w:rPr>
          <w:rFonts w:asciiTheme="majorBidi" w:hAnsiTheme="majorBidi" w:cstheme="majorBidi"/>
          <w:sz w:val="28"/>
          <w:szCs w:val="28"/>
        </w:rPr>
        <w:t>eluted</w:t>
      </w:r>
      <w:r w:rsidRPr="00282E95">
        <w:rPr>
          <w:rFonts w:asciiTheme="majorBidi" w:hAnsiTheme="majorBidi" w:cstheme="majorBidi"/>
          <w:sz w:val="28"/>
          <w:szCs w:val="28"/>
        </w:rPr>
        <w:t xml:space="preserve"> with an acidic buffer (</w:t>
      </w:r>
      <w:r w:rsidRPr="00282E95">
        <w:rPr>
          <w:rFonts w:asciiTheme="majorBidi" w:hAnsiTheme="majorBidi" w:cstheme="majorBidi"/>
          <w:b/>
          <w:bCs/>
          <w:sz w:val="28"/>
          <w:szCs w:val="28"/>
        </w:rPr>
        <w:t>Figure 5</w:t>
      </w:r>
      <w:r w:rsidRPr="00282E95">
        <w:rPr>
          <w:rFonts w:asciiTheme="majorBidi" w:hAnsiTheme="majorBidi" w:cstheme="majorBidi"/>
          <w:sz w:val="28"/>
          <w:szCs w:val="28"/>
        </w:rPr>
        <w:t>).</w:t>
      </w:r>
    </w:p>
    <w:p w:rsidR="00623086" w:rsidRDefault="00282E95" w:rsidP="00623086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736865A5" wp14:editId="071066A7">
            <wp:extent cx="5943600" cy="58388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83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E95" w:rsidRPr="00623086" w:rsidRDefault="00282E95" w:rsidP="00623086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282E95">
        <w:rPr>
          <w:rFonts w:asciiTheme="majorBidi" w:hAnsiTheme="majorBidi" w:cstheme="majorBidi"/>
          <w:b/>
          <w:bCs/>
          <w:sz w:val="28"/>
          <w:szCs w:val="28"/>
        </w:rPr>
        <w:lastRenderedPageBreak/>
        <w:t>3. Labeling of antibodies</w:t>
      </w:r>
    </w:p>
    <w:p w:rsidR="00282E95" w:rsidRDefault="00282E95" w:rsidP="00623086">
      <w:pPr>
        <w:spacing w:line="360" w:lineRule="auto"/>
        <w:ind w:firstLine="720"/>
        <w:rPr>
          <w:rFonts w:asciiTheme="majorBidi" w:hAnsiTheme="majorBidi" w:cstheme="majorBidi"/>
          <w:sz w:val="28"/>
          <w:szCs w:val="28"/>
        </w:rPr>
      </w:pPr>
      <w:r w:rsidRPr="00282E95">
        <w:rPr>
          <w:rFonts w:asciiTheme="majorBidi" w:hAnsiTheme="majorBidi" w:cstheme="majorBidi"/>
          <w:sz w:val="28"/>
          <w:szCs w:val="28"/>
        </w:rPr>
        <w:t>In the past immunoassays were developed, in which radioactive markers coupled to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antibodies or antigens were used for the detection of antibody-antigen interactions.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Nowadays, other markers for the labeling of antibodies are used because of safety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concerns and because of emerging</w:t>
      </w:r>
      <w:r w:rsidR="00623086">
        <w:rPr>
          <w:rFonts w:asciiTheme="majorBidi" w:hAnsiTheme="majorBidi" w:cstheme="majorBidi"/>
          <w:sz w:val="28"/>
          <w:szCs w:val="28"/>
        </w:rPr>
        <w:t xml:space="preserve"> technologies</w:t>
      </w:r>
      <w:r w:rsidRPr="00282E95">
        <w:rPr>
          <w:rFonts w:asciiTheme="majorBidi" w:hAnsiTheme="majorBidi" w:cstheme="majorBidi"/>
          <w:sz w:val="28"/>
          <w:szCs w:val="28"/>
        </w:rPr>
        <w:t>. Due to their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good sensitivity, many antibodies are labeled with enzymes which render a colorless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substrate into an easily detectable product. As the amount of colored product is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proportional to the enzyme concentration and at the same time to the antigen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concentration, it is possible to quantify antibody or antigen concentration and to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characterize binding affinities. The basic principle of the method is shown in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82E95">
        <w:rPr>
          <w:rFonts w:asciiTheme="majorBidi" w:hAnsiTheme="majorBidi" w:cstheme="majorBidi"/>
          <w:sz w:val="28"/>
          <w:szCs w:val="28"/>
        </w:rPr>
        <w:t>figure below (</w:t>
      </w:r>
      <w:r w:rsidRPr="00282E95">
        <w:rPr>
          <w:rFonts w:asciiTheme="majorBidi" w:hAnsiTheme="majorBidi" w:cstheme="majorBidi"/>
          <w:b/>
          <w:bCs/>
          <w:sz w:val="28"/>
          <w:szCs w:val="28"/>
        </w:rPr>
        <w:t>Figure 6</w:t>
      </w:r>
      <w:r w:rsidRPr="00282E95">
        <w:rPr>
          <w:rFonts w:asciiTheme="majorBidi" w:hAnsiTheme="majorBidi" w:cstheme="majorBidi"/>
          <w:sz w:val="28"/>
          <w:szCs w:val="28"/>
        </w:rPr>
        <w:t>):</w:t>
      </w:r>
    </w:p>
    <w:p w:rsidR="00D1049F" w:rsidRPr="00282E95" w:rsidRDefault="00D1049F" w:rsidP="00282E95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6172200" cy="43338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049F" w:rsidRPr="00282E95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370" w:rsidRDefault="00C86370" w:rsidP="00623086">
      <w:pPr>
        <w:spacing w:after="0" w:line="240" w:lineRule="auto"/>
      </w:pPr>
      <w:r>
        <w:separator/>
      </w:r>
    </w:p>
  </w:endnote>
  <w:endnote w:type="continuationSeparator" w:id="0">
    <w:p w:rsidR="00C86370" w:rsidRDefault="00C86370" w:rsidP="00623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58943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3086" w:rsidRDefault="0062308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70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23086" w:rsidRDefault="006230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370" w:rsidRDefault="00C86370" w:rsidP="00623086">
      <w:pPr>
        <w:spacing w:after="0" w:line="240" w:lineRule="auto"/>
      </w:pPr>
      <w:r>
        <w:separator/>
      </w:r>
    </w:p>
  </w:footnote>
  <w:footnote w:type="continuationSeparator" w:id="0">
    <w:p w:rsidR="00C86370" w:rsidRDefault="00C86370" w:rsidP="006230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E95"/>
    <w:rsid w:val="000564BA"/>
    <w:rsid w:val="00282E95"/>
    <w:rsid w:val="00623086"/>
    <w:rsid w:val="00C86370"/>
    <w:rsid w:val="00D1049F"/>
    <w:rsid w:val="00F9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2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E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30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086"/>
  </w:style>
  <w:style w:type="paragraph" w:styleId="Footer">
    <w:name w:val="footer"/>
    <w:basedOn w:val="Normal"/>
    <w:link w:val="FooterChar"/>
    <w:uiPriority w:val="99"/>
    <w:unhideWhenUsed/>
    <w:rsid w:val="006230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0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2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E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30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086"/>
  </w:style>
  <w:style w:type="paragraph" w:styleId="Footer">
    <w:name w:val="footer"/>
    <w:basedOn w:val="Normal"/>
    <w:link w:val="FooterChar"/>
    <w:uiPriority w:val="99"/>
    <w:unhideWhenUsed/>
    <w:rsid w:val="006230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hasibty</dc:creator>
  <cp:lastModifiedBy>hasibty</cp:lastModifiedBy>
  <cp:revision>2</cp:revision>
  <dcterms:created xsi:type="dcterms:W3CDTF">2012-11-12T10:19:00Z</dcterms:created>
  <dcterms:modified xsi:type="dcterms:W3CDTF">2012-11-12T10:51:00Z</dcterms:modified>
</cp:coreProperties>
</file>