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5CCE" w:rsidRPr="000A5CCE" w:rsidRDefault="000A5CCE" w:rsidP="000A5CCE">
      <w:pPr>
        <w:bidi/>
        <w:spacing w:line="480" w:lineRule="auto"/>
        <w:jc w:val="both"/>
        <w:rPr>
          <w:rFonts w:hint="cs"/>
          <w:sz w:val="36"/>
          <w:szCs w:val="36"/>
          <w:rtl/>
        </w:rPr>
      </w:pPr>
      <w:r w:rsidRPr="000A5CCE">
        <w:rPr>
          <w:rFonts w:hint="cs"/>
          <w:b/>
          <w:bCs/>
          <w:sz w:val="36"/>
          <w:szCs w:val="36"/>
          <w:u w:val="single"/>
          <w:rtl/>
        </w:rPr>
        <w:t>النظريات والقوانين الخاصة بالمدينة:</w:t>
      </w:r>
    </w:p>
    <w:p w:rsidR="000A5CCE" w:rsidRPr="000A5CCE" w:rsidRDefault="000A5CCE" w:rsidP="000A5CCE">
      <w:pPr>
        <w:bidi/>
        <w:spacing w:line="480" w:lineRule="auto"/>
        <w:jc w:val="both"/>
        <w:rPr>
          <w:rFonts w:hint="cs"/>
          <w:sz w:val="32"/>
          <w:szCs w:val="32"/>
          <w:rtl/>
        </w:rPr>
      </w:pPr>
      <w:r w:rsidRPr="000A5CCE">
        <w:rPr>
          <w:rFonts w:hint="cs"/>
          <w:sz w:val="32"/>
          <w:szCs w:val="32"/>
          <w:rtl/>
        </w:rPr>
        <w:t>حاولت العديد من الدراسات إلقاء الضوء على العوامل المفسرة للتوزيع الحضري المكاني وتغيراته ،ويمكن دراسة هيمنة المدينة الكبرى على دولتها من خلال قوانين المدن التي سآتي على ذكر بعضها بشيء بسيط:</w:t>
      </w:r>
    </w:p>
    <w:p w:rsidR="000A5CCE" w:rsidRPr="000A5CCE" w:rsidRDefault="000A5CCE" w:rsidP="000A5CCE">
      <w:pPr>
        <w:numPr>
          <w:ilvl w:val="0"/>
          <w:numId w:val="1"/>
        </w:numPr>
        <w:bidi/>
        <w:spacing w:line="480" w:lineRule="auto"/>
        <w:jc w:val="both"/>
        <w:rPr>
          <w:rFonts w:hint="cs"/>
          <w:sz w:val="32"/>
          <w:szCs w:val="32"/>
        </w:rPr>
      </w:pPr>
      <w:r w:rsidRPr="000A5CCE">
        <w:rPr>
          <w:rFonts w:hint="cs"/>
          <w:b/>
          <w:bCs/>
          <w:sz w:val="32"/>
          <w:szCs w:val="32"/>
          <w:u w:val="single"/>
          <w:rtl/>
        </w:rPr>
        <w:t xml:space="preserve">قاعدة المدينة </w:t>
      </w:r>
      <w:proofErr w:type="spellStart"/>
      <w:r w:rsidRPr="000A5CCE">
        <w:rPr>
          <w:rFonts w:hint="cs"/>
          <w:b/>
          <w:bCs/>
          <w:sz w:val="32"/>
          <w:szCs w:val="32"/>
          <w:u w:val="single"/>
          <w:rtl/>
        </w:rPr>
        <w:t>الأولى:</w:t>
      </w:r>
      <w:proofErr w:type="spellEnd"/>
      <w:r w:rsidRPr="000A5CCE">
        <w:rPr>
          <w:rFonts w:hint="cs"/>
          <w:sz w:val="32"/>
          <w:szCs w:val="32"/>
          <w:rtl/>
        </w:rPr>
        <w:t xml:space="preserve"> يقول القانون أنه داخل الإطار المساحي </w:t>
      </w:r>
      <w:proofErr w:type="spellStart"/>
      <w:r w:rsidRPr="000A5CCE">
        <w:rPr>
          <w:rFonts w:hint="cs"/>
          <w:sz w:val="32"/>
          <w:szCs w:val="32"/>
          <w:rtl/>
        </w:rPr>
        <w:t>الواحد،</w:t>
      </w:r>
      <w:proofErr w:type="spellEnd"/>
      <w:r w:rsidRPr="000A5CCE">
        <w:rPr>
          <w:rFonts w:hint="cs"/>
          <w:sz w:val="32"/>
          <w:szCs w:val="32"/>
          <w:rtl/>
        </w:rPr>
        <w:t xml:space="preserve"> تتفو</w:t>
      </w:r>
      <w:r w:rsidRPr="000A5CCE">
        <w:rPr>
          <w:rFonts w:hint="eastAsia"/>
          <w:sz w:val="32"/>
          <w:szCs w:val="32"/>
          <w:rtl/>
        </w:rPr>
        <w:t>ق</w:t>
      </w:r>
      <w:r w:rsidRPr="000A5CCE">
        <w:rPr>
          <w:rFonts w:hint="cs"/>
          <w:sz w:val="32"/>
          <w:szCs w:val="32"/>
          <w:rtl/>
        </w:rPr>
        <w:t xml:space="preserve"> مدينة واحدة على المدن الأخرى بشكل لا يتناسب مع الترتيب التدريجي.ويرى أن المدينة المهيمنة هي عاصمة الدولة،وقد استخلص </w:t>
      </w:r>
      <w:proofErr w:type="spellStart"/>
      <w:r w:rsidRPr="000A5CCE">
        <w:rPr>
          <w:rFonts w:hint="cs"/>
          <w:sz w:val="32"/>
          <w:szCs w:val="32"/>
          <w:rtl/>
        </w:rPr>
        <w:t>جيفرسون</w:t>
      </w:r>
      <w:proofErr w:type="spellEnd"/>
      <w:r w:rsidRPr="000A5CCE">
        <w:rPr>
          <w:rFonts w:hint="cs"/>
          <w:sz w:val="32"/>
          <w:szCs w:val="32"/>
          <w:rtl/>
        </w:rPr>
        <w:t xml:space="preserve"> العلاقة بين توزيع </w:t>
      </w:r>
      <w:proofErr w:type="spellStart"/>
      <w:r w:rsidRPr="000A5CCE">
        <w:rPr>
          <w:rFonts w:hint="cs"/>
          <w:sz w:val="32"/>
          <w:szCs w:val="32"/>
          <w:rtl/>
        </w:rPr>
        <w:t>ال،</w:t>
      </w:r>
      <w:proofErr w:type="spellEnd"/>
      <w:r w:rsidRPr="000A5CCE">
        <w:rPr>
          <w:rFonts w:hint="cs"/>
          <w:sz w:val="32"/>
          <w:szCs w:val="32"/>
          <w:rtl/>
        </w:rPr>
        <w:t xml:space="preserve"> </w:t>
      </w:r>
      <w:proofErr w:type="spellStart"/>
      <w:r w:rsidRPr="000A5CCE">
        <w:rPr>
          <w:rFonts w:hint="cs"/>
          <w:sz w:val="32"/>
          <w:szCs w:val="32"/>
          <w:rtl/>
        </w:rPr>
        <w:t>بنا</w:t>
      </w:r>
      <w:r w:rsidRPr="000A5CCE">
        <w:rPr>
          <w:rFonts w:hint="eastAsia"/>
          <w:sz w:val="32"/>
          <w:szCs w:val="32"/>
          <w:rtl/>
        </w:rPr>
        <w:t>ء</w:t>
      </w:r>
      <w:r w:rsidRPr="000A5CCE">
        <w:rPr>
          <w:rFonts w:hint="cs"/>
          <w:sz w:val="32"/>
          <w:szCs w:val="32"/>
          <w:rtl/>
        </w:rPr>
        <w:t>رتب</w:t>
      </w:r>
      <w:proofErr w:type="spellEnd"/>
      <w:r w:rsidRPr="000A5CCE">
        <w:rPr>
          <w:rFonts w:hint="cs"/>
          <w:sz w:val="32"/>
          <w:szCs w:val="32"/>
          <w:rtl/>
        </w:rPr>
        <w:t xml:space="preserve"> مركزيتها وعلى فرض أن حجم السكان معبر إلى حد ما عن مركزية المدينة،حيث تتفوق المدينة الأولى على المدينتين التاليتين </w:t>
      </w:r>
      <w:proofErr w:type="spellStart"/>
      <w:r w:rsidRPr="000A5CCE">
        <w:rPr>
          <w:rFonts w:hint="cs"/>
          <w:sz w:val="32"/>
          <w:szCs w:val="32"/>
          <w:rtl/>
        </w:rPr>
        <w:t>بنسبة:100،</w:t>
      </w:r>
      <w:proofErr w:type="spellEnd"/>
      <w:r w:rsidRPr="000A5CCE">
        <w:rPr>
          <w:rFonts w:hint="cs"/>
          <w:sz w:val="32"/>
          <w:szCs w:val="32"/>
          <w:rtl/>
        </w:rPr>
        <w:t xml:space="preserve"> </w:t>
      </w:r>
      <w:proofErr w:type="spellStart"/>
      <w:r w:rsidRPr="000A5CCE">
        <w:rPr>
          <w:rFonts w:hint="cs"/>
          <w:sz w:val="32"/>
          <w:szCs w:val="32"/>
          <w:rtl/>
        </w:rPr>
        <w:t>3</w:t>
      </w:r>
      <w:r w:rsidRPr="000A5CCE">
        <w:rPr>
          <w:sz w:val="32"/>
          <w:szCs w:val="32"/>
          <w:rtl/>
        </w:rPr>
        <w:t>0</w:t>
      </w:r>
      <w:r w:rsidRPr="000A5CCE">
        <w:rPr>
          <w:rFonts w:hint="cs"/>
          <w:sz w:val="32"/>
          <w:szCs w:val="32"/>
          <w:rtl/>
        </w:rPr>
        <w:t>،</w:t>
      </w:r>
      <w:proofErr w:type="spellEnd"/>
      <w:r w:rsidRPr="000A5CCE">
        <w:rPr>
          <w:rFonts w:hint="cs"/>
          <w:sz w:val="32"/>
          <w:szCs w:val="32"/>
          <w:rtl/>
        </w:rPr>
        <w:t xml:space="preserve"> 1</w:t>
      </w:r>
      <w:r w:rsidRPr="000A5CCE">
        <w:rPr>
          <w:sz w:val="32"/>
          <w:szCs w:val="32"/>
          <w:rtl/>
        </w:rPr>
        <w:t>0</w:t>
      </w:r>
      <w:r w:rsidRPr="000A5CCE">
        <w:rPr>
          <w:rFonts w:hint="cs"/>
          <w:sz w:val="32"/>
          <w:szCs w:val="32"/>
          <w:rtl/>
        </w:rPr>
        <w:t xml:space="preserve">.ويوضح الجدول التالي نتائج تطبيق قانون المدينة الأولى على مراكز المحافظات </w:t>
      </w:r>
      <w:proofErr w:type="spellStart"/>
      <w:r w:rsidRPr="000A5CCE">
        <w:rPr>
          <w:rFonts w:hint="cs"/>
          <w:sz w:val="32"/>
          <w:szCs w:val="32"/>
          <w:rtl/>
        </w:rPr>
        <w:t>السوري،</w:t>
      </w:r>
      <w:proofErr w:type="spellEnd"/>
      <w:r w:rsidRPr="000A5CCE">
        <w:rPr>
          <w:rFonts w:hint="cs"/>
          <w:sz w:val="32"/>
          <w:szCs w:val="32"/>
          <w:rtl/>
        </w:rPr>
        <w:t xml:space="preserve"> </w:t>
      </w:r>
      <w:proofErr w:type="spellStart"/>
      <w:r w:rsidRPr="000A5CCE">
        <w:rPr>
          <w:rFonts w:hint="cs"/>
          <w:sz w:val="32"/>
          <w:szCs w:val="32"/>
          <w:rtl/>
        </w:rPr>
        <w:t>بنا</w:t>
      </w:r>
      <w:r w:rsidRPr="000A5CCE">
        <w:rPr>
          <w:rFonts w:hint="eastAsia"/>
          <w:sz w:val="32"/>
          <w:szCs w:val="32"/>
          <w:rtl/>
        </w:rPr>
        <w:t>ء</w:t>
      </w:r>
      <w:r w:rsidRPr="000A5CCE">
        <w:rPr>
          <w:rFonts w:hint="cs"/>
          <w:sz w:val="32"/>
          <w:szCs w:val="32"/>
          <w:rtl/>
        </w:rPr>
        <w:t>ء</w:t>
      </w:r>
      <w:proofErr w:type="spellEnd"/>
      <w:r w:rsidRPr="000A5CCE">
        <w:rPr>
          <w:rFonts w:hint="cs"/>
          <w:sz w:val="32"/>
          <w:szCs w:val="32"/>
          <w:rtl/>
        </w:rPr>
        <w:t xml:space="preserve"> على نتائج تعداد عام </w:t>
      </w:r>
      <w:proofErr w:type="spellStart"/>
      <w:r w:rsidRPr="000A5CCE">
        <w:rPr>
          <w:rFonts w:hint="cs"/>
          <w:sz w:val="32"/>
          <w:szCs w:val="32"/>
          <w:rtl/>
        </w:rPr>
        <w:t>1994م</w:t>
      </w:r>
      <w:proofErr w:type="spellEnd"/>
      <w:r w:rsidRPr="000A5CCE">
        <w:rPr>
          <w:rFonts w:hint="cs"/>
          <w:sz w:val="32"/>
          <w:szCs w:val="32"/>
          <w:rtl/>
        </w:rPr>
        <w:t xml:space="preserve">،وتقديراتهم لعام </w:t>
      </w:r>
      <w:proofErr w:type="spellStart"/>
      <w:r w:rsidRPr="000A5CCE">
        <w:rPr>
          <w:rFonts w:hint="cs"/>
          <w:sz w:val="32"/>
          <w:szCs w:val="32"/>
          <w:rtl/>
        </w:rPr>
        <w:t>2004م</w:t>
      </w:r>
      <w:proofErr w:type="spellEnd"/>
      <w:r w:rsidRPr="000A5CCE">
        <w:rPr>
          <w:rFonts w:hint="cs"/>
          <w:sz w:val="32"/>
          <w:szCs w:val="32"/>
          <w:rtl/>
        </w:rPr>
        <w:t>.</w:t>
      </w:r>
    </w:p>
    <w:p w:rsidR="000A5CCE" w:rsidRPr="000A5CCE" w:rsidRDefault="000A5CCE" w:rsidP="000A5CCE">
      <w:pPr>
        <w:bidi/>
        <w:spacing w:line="480" w:lineRule="auto"/>
        <w:jc w:val="both"/>
        <w:rPr>
          <w:rFonts w:hint="cs"/>
          <w:sz w:val="32"/>
          <w:szCs w:val="32"/>
          <w:rtl/>
        </w:rPr>
      </w:pPr>
    </w:p>
    <w:tbl>
      <w:tblPr>
        <w:tblStyle w:val="a3"/>
        <w:bidiVisual/>
        <w:tblW w:w="0" w:type="auto"/>
        <w:tblLook w:val="01E0"/>
      </w:tblPr>
      <w:tblGrid>
        <w:gridCol w:w="984"/>
        <w:gridCol w:w="1599"/>
        <w:gridCol w:w="1041"/>
        <w:gridCol w:w="1599"/>
        <w:gridCol w:w="1039"/>
        <w:gridCol w:w="1226"/>
        <w:gridCol w:w="1034"/>
      </w:tblGrid>
      <w:tr w:rsidR="000A5CCE" w:rsidRPr="000A5CCE" w:rsidTr="008D6419">
        <w:trPr>
          <w:cnfStyle w:val="100000000000"/>
        </w:trPr>
        <w:tc>
          <w:tcPr>
            <w:tcW w:w="1245" w:type="dxa"/>
            <w:vMerge w:val="restart"/>
            <w:vAlign w:val="center"/>
          </w:tcPr>
          <w:p w:rsidR="000A5CCE" w:rsidRPr="000A5CCE" w:rsidRDefault="000A5CCE" w:rsidP="000A5CCE">
            <w:pPr>
              <w:bidi/>
              <w:spacing w:line="480" w:lineRule="auto"/>
              <w:jc w:val="center"/>
              <w:rPr>
                <w:rFonts w:hint="cs"/>
                <w:sz w:val="28"/>
                <w:szCs w:val="28"/>
                <w:rtl/>
              </w:rPr>
            </w:pPr>
            <w:r w:rsidRPr="000A5CCE">
              <w:rPr>
                <w:rFonts w:hint="cs"/>
                <w:sz w:val="28"/>
                <w:szCs w:val="28"/>
                <w:rtl/>
              </w:rPr>
              <w:t>قانون المدينة الأولى</w:t>
            </w:r>
          </w:p>
        </w:tc>
        <w:tc>
          <w:tcPr>
            <w:tcW w:w="1339" w:type="dxa"/>
            <w:vMerge w:val="restart"/>
            <w:vAlign w:val="center"/>
          </w:tcPr>
          <w:p w:rsidR="000A5CCE" w:rsidRPr="000A5CCE" w:rsidRDefault="000A5CCE" w:rsidP="000A5CCE">
            <w:pPr>
              <w:bidi/>
              <w:spacing w:line="480" w:lineRule="auto"/>
              <w:jc w:val="center"/>
              <w:rPr>
                <w:rFonts w:hint="cs"/>
                <w:sz w:val="28"/>
                <w:szCs w:val="28"/>
                <w:rtl/>
              </w:rPr>
            </w:pPr>
            <w:r w:rsidRPr="000A5CCE">
              <w:rPr>
                <w:rFonts w:hint="cs"/>
                <w:sz w:val="28"/>
                <w:szCs w:val="28"/>
                <w:rtl/>
              </w:rPr>
              <w:t>المدينة الأولى</w:t>
            </w:r>
          </w:p>
        </w:tc>
        <w:tc>
          <w:tcPr>
            <w:tcW w:w="1246" w:type="dxa"/>
            <w:vAlign w:val="center"/>
          </w:tcPr>
          <w:p w:rsidR="000A5CCE" w:rsidRPr="000A5CCE" w:rsidRDefault="000A5CCE" w:rsidP="000A5CCE">
            <w:pPr>
              <w:bidi/>
              <w:spacing w:line="480" w:lineRule="auto"/>
              <w:jc w:val="center"/>
              <w:rPr>
                <w:rFonts w:hint="cs"/>
                <w:sz w:val="32"/>
                <w:szCs w:val="32"/>
                <w:rtl/>
              </w:rPr>
            </w:pPr>
            <w:r w:rsidRPr="000A5CCE">
              <w:rPr>
                <w:rFonts w:hint="cs"/>
                <w:sz w:val="32"/>
                <w:szCs w:val="32"/>
                <w:rtl/>
              </w:rPr>
              <w:t>القاعدة</w:t>
            </w:r>
          </w:p>
        </w:tc>
        <w:tc>
          <w:tcPr>
            <w:tcW w:w="1339" w:type="dxa"/>
            <w:vMerge w:val="restart"/>
            <w:vAlign w:val="center"/>
          </w:tcPr>
          <w:p w:rsidR="000A5CCE" w:rsidRPr="000A5CCE" w:rsidRDefault="000A5CCE" w:rsidP="000A5CCE">
            <w:pPr>
              <w:bidi/>
              <w:spacing w:line="480" w:lineRule="auto"/>
              <w:jc w:val="center"/>
              <w:rPr>
                <w:rFonts w:hint="cs"/>
                <w:sz w:val="32"/>
                <w:szCs w:val="32"/>
                <w:rtl/>
              </w:rPr>
            </w:pPr>
            <w:r w:rsidRPr="000A5CCE">
              <w:rPr>
                <w:rFonts w:hint="cs"/>
                <w:sz w:val="32"/>
                <w:szCs w:val="32"/>
                <w:rtl/>
              </w:rPr>
              <w:t>المدينة الثانية</w:t>
            </w:r>
          </w:p>
        </w:tc>
        <w:tc>
          <w:tcPr>
            <w:tcW w:w="1238" w:type="dxa"/>
            <w:vAlign w:val="center"/>
          </w:tcPr>
          <w:p w:rsidR="000A5CCE" w:rsidRPr="000A5CCE" w:rsidRDefault="000A5CCE" w:rsidP="000A5CCE">
            <w:pPr>
              <w:bidi/>
              <w:spacing w:line="480" w:lineRule="auto"/>
              <w:jc w:val="center"/>
              <w:rPr>
                <w:rFonts w:hint="cs"/>
                <w:sz w:val="32"/>
                <w:szCs w:val="32"/>
                <w:rtl/>
              </w:rPr>
            </w:pPr>
            <w:r w:rsidRPr="000A5CCE">
              <w:rPr>
                <w:rFonts w:hint="cs"/>
                <w:sz w:val="32"/>
                <w:szCs w:val="32"/>
                <w:rtl/>
              </w:rPr>
              <w:t>القاعدة</w:t>
            </w:r>
          </w:p>
        </w:tc>
        <w:tc>
          <w:tcPr>
            <w:tcW w:w="1224" w:type="dxa"/>
            <w:vMerge w:val="restart"/>
            <w:vAlign w:val="center"/>
          </w:tcPr>
          <w:p w:rsidR="000A5CCE" w:rsidRPr="000A5CCE" w:rsidRDefault="000A5CCE" w:rsidP="000A5CCE">
            <w:pPr>
              <w:bidi/>
              <w:spacing w:line="480" w:lineRule="auto"/>
              <w:jc w:val="center"/>
              <w:rPr>
                <w:rFonts w:hint="cs"/>
                <w:sz w:val="32"/>
                <w:szCs w:val="32"/>
                <w:rtl/>
              </w:rPr>
            </w:pPr>
            <w:r w:rsidRPr="000A5CCE">
              <w:rPr>
                <w:rFonts w:hint="cs"/>
                <w:sz w:val="32"/>
                <w:szCs w:val="32"/>
                <w:rtl/>
              </w:rPr>
              <w:t>المدينة الثالثة</w:t>
            </w:r>
          </w:p>
        </w:tc>
        <w:tc>
          <w:tcPr>
            <w:tcW w:w="1225" w:type="dxa"/>
            <w:vAlign w:val="center"/>
          </w:tcPr>
          <w:p w:rsidR="000A5CCE" w:rsidRPr="000A5CCE" w:rsidRDefault="000A5CCE" w:rsidP="000A5CCE">
            <w:pPr>
              <w:bidi/>
              <w:spacing w:line="480" w:lineRule="auto"/>
              <w:jc w:val="center"/>
              <w:rPr>
                <w:rFonts w:hint="cs"/>
                <w:sz w:val="32"/>
                <w:szCs w:val="32"/>
                <w:rtl/>
              </w:rPr>
            </w:pPr>
            <w:r w:rsidRPr="000A5CCE">
              <w:rPr>
                <w:rFonts w:hint="cs"/>
                <w:sz w:val="32"/>
                <w:szCs w:val="32"/>
                <w:rtl/>
              </w:rPr>
              <w:t>القاعدة</w:t>
            </w:r>
          </w:p>
        </w:tc>
      </w:tr>
      <w:tr w:rsidR="000A5CCE" w:rsidRPr="000A5CCE" w:rsidTr="008D6419">
        <w:trPr>
          <w:cnfStyle w:val="000000100000"/>
        </w:trPr>
        <w:tc>
          <w:tcPr>
            <w:tcW w:w="1245" w:type="dxa"/>
            <w:vMerge/>
            <w:vAlign w:val="center"/>
          </w:tcPr>
          <w:p w:rsidR="000A5CCE" w:rsidRPr="000A5CCE" w:rsidRDefault="000A5CCE" w:rsidP="000A5CCE">
            <w:pPr>
              <w:bidi/>
              <w:spacing w:line="480" w:lineRule="auto"/>
              <w:jc w:val="center"/>
              <w:rPr>
                <w:rFonts w:hint="cs"/>
                <w:sz w:val="32"/>
                <w:szCs w:val="32"/>
                <w:rtl/>
              </w:rPr>
            </w:pPr>
          </w:p>
        </w:tc>
        <w:tc>
          <w:tcPr>
            <w:tcW w:w="1339" w:type="dxa"/>
            <w:vMerge/>
            <w:vAlign w:val="center"/>
          </w:tcPr>
          <w:p w:rsidR="000A5CCE" w:rsidRPr="000A5CCE" w:rsidRDefault="000A5CCE" w:rsidP="000A5CCE">
            <w:pPr>
              <w:bidi/>
              <w:spacing w:line="480" w:lineRule="auto"/>
              <w:jc w:val="center"/>
              <w:rPr>
                <w:rFonts w:hint="cs"/>
                <w:sz w:val="32"/>
                <w:szCs w:val="32"/>
                <w:rtl/>
              </w:rPr>
            </w:pPr>
          </w:p>
        </w:tc>
        <w:tc>
          <w:tcPr>
            <w:tcW w:w="1246" w:type="dxa"/>
            <w:vAlign w:val="center"/>
          </w:tcPr>
          <w:p w:rsidR="000A5CCE" w:rsidRPr="000A5CCE" w:rsidRDefault="000A5CCE" w:rsidP="000A5CCE">
            <w:pPr>
              <w:bidi/>
              <w:spacing w:line="480" w:lineRule="auto"/>
              <w:jc w:val="center"/>
              <w:rPr>
                <w:rFonts w:hint="cs"/>
                <w:sz w:val="32"/>
                <w:szCs w:val="32"/>
                <w:rtl/>
              </w:rPr>
            </w:pPr>
            <w:r w:rsidRPr="000A5CCE">
              <w:rPr>
                <w:rFonts w:hint="cs"/>
                <w:sz w:val="32"/>
                <w:szCs w:val="32"/>
                <w:rtl/>
              </w:rPr>
              <w:t>100</w:t>
            </w:r>
          </w:p>
        </w:tc>
        <w:tc>
          <w:tcPr>
            <w:tcW w:w="1339" w:type="dxa"/>
            <w:vMerge/>
            <w:vAlign w:val="center"/>
          </w:tcPr>
          <w:p w:rsidR="000A5CCE" w:rsidRPr="000A5CCE" w:rsidRDefault="000A5CCE" w:rsidP="000A5CCE">
            <w:pPr>
              <w:bidi/>
              <w:spacing w:line="480" w:lineRule="auto"/>
              <w:jc w:val="center"/>
              <w:rPr>
                <w:rFonts w:hint="cs"/>
                <w:sz w:val="32"/>
                <w:szCs w:val="32"/>
                <w:rtl/>
              </w:rPr>
            </w:pPr>
          </w:p>
        </w:tc>
        <w:tc>
          <w:tcPr>
            <w:tcW w:w="1238" w:type="dxa"/>
            <w:vAlign w:val="center"/>
          </w:tcPr>
          <w:p w:rsidR="000A5CCE" w:rsidRPr="000A5CCE" w:rsidRDefault="000A5CCE" w:rsidP="000A5CCE">
            <w:pPr>
              <w:bidi/>
              <w:spacing w:line="480" w:lineRule="auto"/>
              <w:jc w:val="center"/>
              <w:rPr>
                <w:rFonts w:hint="cs"/>
                <w:sz w:val="32"/>
                <w:szCs w:val="32"/>
                <w:rtl/>
              </w:rPr>
            </w:pPr>
            <w:r w:rsidRPr="000A5CCE">
              <w:rPr>
                <w:rFonts w:hint="cs"/>
                <w:sz w:val="32"/>
                <w:szCs w:val="32"/>
                <w:rtl/>
              </w:rPr>
              <w:t>30</w:t>
            </w:r>
          </w:p>
        </w:tc>
        <w:tc>
          <w:tcPr>
            <w:tcW w:w="1224" w:type="dxa"/>
            <w:vMerge/>
            <w:vAlign w:val="center"/>
          </w:tcPr>
          <w:p w:rsidR="000A5CCE" w:rsidRPr="000A5CCE" w:rsidRDefault="000A5CCE" w:rsidP="000A5CCE">
            <w:pPr>
              <w:bidi/>
              <w:spacing w:line="480" w:lineRule="auto"/>
              <w:jc w:val="center"/>
              <w:rPr>
                <w:rFonts w:hint="cs"/>
                <w:sz w:val="32"/>
                <w:szCs w:val="32"/>
                <w:rtl/>
              </w:rPr>
            </w:pPr>
          </w:p>
        </w:tc>
        <w:tc>
          <w:tcPr>
            <w:tcW w:w="1225" w:type="dxa"/>
            <w:vAlign w:val="center"/>
          </w:tcPr>
          <w:p w:rsidR="000A5CCE" w:rsidRPr="000A5CCE" w:rsidRDefault="000A5CCE" w:rsidP="000A5CCE">
            <w:pPr>
              <w:bidi/>
              <w:spacing w:line="480" w:lineRule="auto"/>
              <w:jc w:val="center"/>
              <w:rPr>
                <w:rFonts w:hint="cs"/>
                <w:sz w:val="32"/>
                <w:szCs w:val="32"/>
                <w:rtl/>
              </w:rPr>
            </w:pPr>
            <w:r w:rsidRPr="000A5CCE">
              <w:rPr>
                <w:rFonts w:hint="cs"/>
                <w:sz w:val="32"/>
                <w:szCs w:val="32"/>
                <w:rtl/>
              </w:rPr>
              <w:t>20</w:t>
            </w:r>
          </w:p>
        </w:tc>
      </w:tr>
      <w:tr w:rsidR="000A5CCE" w:rsidRPr="000A5CCE" w:rsidTr="008D6419">
        <w:trPr>
          <w:cnfStyle w:val="000000010000"/>
        </w:trPr>
        <w:tc>
          <w:tcPr>
            <w:tcW w:w="1245" w:type="dxa"/>
            <w:vMerge w:val="restart"/>
            <w:vAlign w:val="center"/>
          </w:tcPr>
          <w:p w:rsidR="000A5CCE" w:rsidRPr="000A5CCE" w:rsidRDefault="000A5CCE" w:rsidP="000A5CCE">
            <w:pPr>
              <w:bidi/>
              <w:spacing w:line="480" w:lineRule="auto"/>
              <w:rPr>
                <w:rFonts w:hint="cs"/>
                <w:b/>
                <w:bCs/>
                <w:sz w:val="28"/>
                <w:szCs w:val="28"/>
                <w:rtl/>
              </w:rPr>
            </w:pPr>
            <w:r w:rsidRPr="000A5CCE">
              <w:rPr>
                <w:rFonts w:hint="cs"/>
                <w:b/>
                <w:bCs/>
                <w:sz w:val="28"/>
                <w:szCs w:val="28"/>
                <w:rtl/>
              </w:rPr>
              <w:t>سوريا 2004</w:t>
            </w:r>
          </w:p>
        </w:tc>
        <w:tc>
          <w:tcPr>
            <w:tcW w:w="1339" w:type="dxa"/>
            <w:vAlign w:val="center"/>
          </w:tcPr>
          <w:p w:rsidR="000A5CCE" w:rsidRPr="000A5CCE" w:rsidRDefault="000A5CCE" w:rsidP="000A5CCE">
            <w:pPr>
              <w:bidi/>
              <w:spacing w:line="480" w:lineRule="auto"/>
              <w:jc w:val="center"/>
              <w:rPr>
                <w:rFonts w:hint="cs"/>
                <w:sz w:val="32"/>
                <w:szCs w:val="32"/>
                <w:rtl/>
              </w:rPr>
            </w:pPr>
            <w:r w:rsidRPr="000A5CCE">
              <w:rPr>
                <w:rFonts w:hint="cs"/>
                <w:sz w:val="32"/>
                <w:szCs w:val="32"/>
                <w:rtl/>
              </w:rPr>
              <w:t>حلب</w:t>
            </w:r>
          </w:p>
        </w:tc>
        <w:tc>
          <w:tcPr>
            <w:tcW w:w="1246" w:type="dxa"/>
            <w:vMerge w:val="restart"/>
            <w:vAlign w:val="center"/>
          </w:tcPr>
          <w:p w:rsidR="000A5CCE" w:rsidRPr="000A5CCE" w:rsidRDefault="000A5CCE" w:rsidP="000A5CCE">
            <w:pPr>
              <w:bidi/>
              <w:spacing w:line="480" w:lineRule="auto"/>
              <w:jc w:val="center"/>
              <w:rPr>
                <w:rFonts w:hint="cs"/>
                <w:sz w:val="32"/>
                <w:szCs w:val="32"/>
                <w:rtl/>
              </w:rPr>
            </w:pPr>
            <w:r w:rsidRPr="000A5CCE">
              <w:rPr>
                <w:rFonts w:hint="cs"/>
                <w:sz w:val="32"/>
                <w:szCs w:val="32"/>
                <w:rtl/>
              </w:rPr>
              <w:t>100</w:t>
            </w:r>
          </w:p>
        </w:tc>
        <w:tc>
          <w:tcPr>
            <w:tcW w:w="1339" w:type="dxa"/>
            <w:vAlign w:val="center"/>
          </w:tcPr>
          <w:p w:rsidR="000A5CCE" w:rsidRPr="000A5CCE" w:rsidRDefault="000A5CCE" w:rsidP="000A5CCE">
            <w:pPr>
              <w:bidi/>
              <w:spacing w:line="480" w:lineRule="auto"/>
              <w:jc w:val="center"/>
              <w:rPr>
                <w:rFonts w:hint="cs"/>
                <w:sz w:val="32"/>
                <w:szCs w:val="32"/>
                <w:rtl/>
              </w:rPr>
            </w:pPr>
            <w:r w:rsidRPr="000A5CCE">
              <w:rPr>
                <w:rFonts w:hint="cs"/>
                <w:sz w:val="32"/>
                <w:szCs w:val="32"/>
                <w:rtl/>
              </w:rPr>
              <w:t>دمشق</w:t>
            </w:r>
          </w:p>
        </w:tc>
        <w:tc>
          <w:tcPr>
            <w:tcW w:w="1238" w:type="dxa"/>
            <w:vMerge w:val="restart"/>
            <w:vAlign w:val="center"/>
          </w:tcPr>
          <w:p w:rsidR="000A5CCE" w:rsidRPr="000A5CCE" w:rsidRDefault="000A5CCE" w:rsidP="000A5CCE">
            <w:pPr>
              <w:bidi/>
              <w:spacing w:line="480" w:lineRule="auto"/>
              <w:jc w:val="center"/>
              <w:rPr>
                <w:rFonts w:hint="cs"/>
                <w:sz w:val="32"/>
                <w:szCs w:val="32"/>
                <w:rtl/>
              </w:rPr>
            </w:pPr>
            <w:r w:rsidRPr="000A5CCE">
              <w:rPr>
                <w:rFonts w:hint="cs"/>
                <w:sz w:val="32"/>
                <w:szCs w:val="32"/>
                <w:rtl/>
              </w:rPr>
              <w:t>74</w:t>
            </w:r>
          </w:p>
        </w:tc>
        <w:tc>
          <w:tcPr>
            <w:tcW w:w="1224" w:type="dxa"/>
            <w:vAlign w:val="center"/>
          </w:tcPr>
          <w:p w:rsidR="000A5CCE" w:rsidRPr="000A5CCE" w:rsidRDefault="000A5CCE" w:rsidP="000A5CCE">
            <w:pPr>
              <w:bidi/>
              <w:spacing w:line="480" w:lineRule="auto"/>
              <w:jc w:val="center"/>
              <w:rPr>
                <w:rFonts w:hint="cs"/>
                <w:sz w:val="32"/>
                <w:szCs w:val="32"/>
                <w:rtl/>
              </w:rPr>
            </w:pPr>
            <w:r w:rsidRPr="000A5CCE">
              <w:rPr>
                <w:rFonts w:hint="cs"/>
                <w:sz w:val="32"/>
                <w:szCs w:val="32"/>
                <w:rtl/>
              </w:rPr>
              <w:t>حمص</w:t>
            </w:r>
          </w:p>
        </w:tc>
        <w:tc>
          <w:tcPr>
            <w:tcW w:w="1225" w:type="dxa"/>
            <w:vMerge w:val="restart"/>
            <w:vAlign w:val="center"/>
          </w:tcPr>
          <w:p w:rsidR="000A5CCE" w:rsidRPr="000A5CCE" w:rsidRDefault="000A5CCE" w:rsidP="000A5CCE">
            <w:pPr>
              <w:bidi/>
              <w:spacing w:line="480" w:lineRule="auto"/>
              <w:jc w:val="center"/>
              <w:rPr>
                <w:rFonts w:hint="cs"/>
                <w:sz w:val="32"/>
                <w:szCs w:val="32"/>
                <w:rtl/>
              </w:rPr>
            </w:pPr>
            <w:r w:rsidRPr="000A5CCE">
              <w:rPr>
                <w:rFonts w:hint="cs"/>
                <w:sz w:val="32"/>
                <w:szCs w:val="32"/>
                <w:rtl/>
              </w:rPr>
              <w:t>32,7</w:t>
            </w:r>
          </w:p>
        </w:tc>
      </w:tr>
      <w:tr w:rsidR="000A5CCE" w:rsidRPr="000A5CCE" w:rsidTr="008D6419">
        <w:trPr>
          <w:cnfStyle w:val="000000100000"/>
        </w:trPr>
        <w:tc>
          <w:tcPr>
            <w:tcW w:w="1245" w:type="dxa"/>
            <w:vMerge/>
            <w:vAlign w:val="center"/>
          </w:tcPr>
          <w:p w:rsidR="000A5CCE" w:rsidRPr="000A5CCE" w:rsidRDefault="000A5CCE" w:rsidP="000A5CCE">
            <w:pPr>
              <w:bidi/>
              <w:spacing w:line="480" w:lineRule="auto"/>
              <w:jc w:val="center"/>
              <w:rPr>
                <w:rFonts w:hint="cs"/>
                <w:sz w:val="32"/>
                <w:szCs w:val="32"/>
                <w:rtl/>
              </w:rPr>
            </w:pPr>
          </w:p>
        </w:tc>
        <w:tc>
          <w:tcPr>
            <w:tcW w:w="1339" w:type="dxa"/>
            <w:vAlign w:val="center"/>
          </w:tcPr>
          <w:p w:rsidR="000A5CCE" w:rsidRPr="000A5CCE" w:rsidRDefault="000A5CCE" w:rsidP="000A5CCE">
            <w:pPr>
              <w:bidi/>
              <w:spacing w:line="480" w:lineRule="auto"/>
              <w:jc w:val="center"/>
              <w:rPr>
                <w:rFonts w:hint="cs"/>
                <w:sz w:val="32"/>
                <w:szCs w:val="32"/>
                <w:rtl/>
              </w:rPr>
            </w:pPr>
            <w:r w:rsidRPr="000A5CCE">
              <w:rPr>
                <w:rFonts w:hint="cs"/>
                <w:sz w:val="32"/>
                <w:szCs w:val="32"/>
                <w:rtl/>
              </w:rPr>
              <w:t>2,225,171</w:t>
            </w:r>
          </w:p>
        </w:tc>
        <w:tc>
          <w:tcPr>
            <w:tcW w:w="1246" w:type="dxa"/>
            <w:vMerge/>
            <w:vAlign w:val="center"/>
          </w:tcPr>
          <w:p w:rsidR="000A5CCE" w:rsidRPr="000A5CCE" w:rsidRDefault="000A5CCE" w:rsidP="000A5CCE">
            <w:pPr>
              <w:bidi/>
              <w:spacing w:line="480" w:lineRule="auto"/>
              <w:jc w:val="center"/>
              <w:rPr>
                <w:rFonts w:hint="cs"/>
                <w:sz w:val="32"/>
                <w:szCs w:val="32"/>
                <w:rtl/>
              </w:rPr>
            </w:pPr>
          </w:p>
        </w:tc>
        <w:tc>
          <w:tcPr>
            <w:tcW w:w="1339" w:type="dxa"/>
            <w:vAlign w:val="center"/>
          </w:tcPr>
          <w:p w:rsidR="000A5CCE" w:rsidRPr="000A5CCE" w:rsidRDefault="000A5CCE" w:rsidP="000A5CCE">
            <w:pPr>
              <w:bidi/>
              <w:spacing w:line="480" w:lineRule="auto"/>
              <w:jc w:val="center"/>
              <w:rPr>
                <w:rFonts w:hint="cs"/>
                <w:sz w:val="32"/>
                <w:szCs w:val="32"/>
                <w:rtl/>
              </w:rPr>
            </w:pPr>
            <w:r w:rsidRPr="000A5CCE">
              <w:rPr>
                <w:rFonts w:hint="cs"/>
                <w:sz w:val="32"/>
                <w:szCs w:val="32"/>
                <w:rtl/>
              </w:rPr>
              <w:t>1,645,329</w:t>
            </w:r>
          </w:p>
        </w:tc>
        <w:tc>
          <w:tcPr>
            <w:tcW w:w="1238" w:type="dxa"/>
            <w:vMerge/>
            <w:vAlign w:val="center"/>
          </w:tcPr>
          <w:p w:rsidR="000A5CCE" w:rsidRPr="000A5CCE" w:rsidRDefault="000A5CCE" w:rsidP="000A5CCE">
            <w:pPr>
              <w:bidi/>
              <w:spacing w:line="480" w:lineRule="auto"/>
              <w:jc w:val="center"/>
              <w:rPr>
                <w:rFonts w:hint="cs"/>
                <w:sz w:val="32"/>
                <w:szCs w:val="32"/>
                <w:rtl/>
              </w:rPr>
            </w:pPr>
          </w:p>
        </w:tc>
        <w:tc>
          <w:tcPr>
            <w:tcW w:w="1224" w:type="dxa"/>
            <w:vAlign w:val="center"/>
          </w:tcPr>
          <w:p w:rsidR="000A5CCE" w:rsidRPr="000A5CCE" w:rsidRDefault="000A5CCE" w:rsidP="000A5CCE">
            <w:pPr>
              <w:bidi/>
              <w:spacing w:line="480" w:lineRule="auto"/>
              <w:jc w:val="center"/>
              <w:rPr>
                <w:rFonts w:hint="cs"/>
                <w:sz w:val="32"/>
                <w:szCs w:val="32"/>
                <w:rtl/>
              </w:rPr>
            </w:pPr>
            <w:r w:rsidRPr="000A5CCE">
              <w:rPr>
                <w:rFonts w:hint="cs"/>
                <w:sz w:val="32"/>
                <w:szCs w:val="32"/>
                <w:rtl/>
              </w:rPr>
              <w:t>727912</w:t>
            </w:r>
          </w:p>
        </w:tc>
        <w:tc>
          <w:tcPr>
            <w:tcW w:w="1225" w:type="dxa"/>
            <w:vMerge/>
            <w:vAlign w:val="center"/>
          </w:tcPr>
          <w:p w:rsidR="000A5CCE" w:rsidRPr="000A5CCE" w:rsidRDefault="000A5CCE" w:rsidP="000A5CCE">
            <w:pPr>
              <w:bidi/>
              <w:spacing w:line="480" w:lineRule="auto"/>
              <w:jc w:val="center"/>
              <w:rPr>
                <w:rFonts w:hint="cs"/>
                <w:sz w:val="32"/>
                <w:szCs w:val="32"/>
                <w:rtl/>
              </w:rPr>
            </w:pPr>
          </w:p>
        </w:tc>
      </w:tr>
    </w:tbl>
    <w:p w:rsidR="000A5CCE" w:rsidRPr="000A5CCE" w:rsidRDefault="000A5CCE" w:rsidP="000A5CCE">
      <w:pPr>
        <w:bidi/>
        <w:spacing w:line="480" w:lineRule="auto"/>
        <w:jc w:val="both"/>
        <w:rPr>
          <w:rFonts w:hint="cs"/>
          <w:sz w:val="32"/>
          <w:szCs w:val="32"/>
          <w:rtl/>
        </w:rPr>
      </w:pPr>
      <w:r w:rsidRPr="000A5CCE">
        <w:rPr>
          <w:rFonts w:hint="cs"/>
          <w:sz w:val="32"/>
          <w:szCs w:val="32"/>
          <w:rtl/>
        </w:rPr>
        <w:lastRenderedPageBreak/>
        <w:t xml:space="preserve">     جدول رقم(9)-تطبيق قانون المدينة الأولى على مراكز المحافظات السورية بحسب تقديرات نتائج تعداد عام </w:t>
      </w:r>
      <w:proofErr w:type="spellStart"/>
      <w:r w:rsidRPr="000A5CCE">
        <w:rPr>
          <w:rFonts w:hint="cs"/>
          <w:sz w:val="32"/>
          <w:szCs w:val="32"/>
          <w:rtl/>
        </w:rPr>
        <w:t>1994م</w:t>
      </w:r>
      <w:proofErr w:type="spellEnd"/>
      <w:r w:rsidRPr="000A5CCE">
        <w:rPr>
          <w:rFonts w:hint="cs"/>
          <w:sz w:val="32"/>
          <w:szCs w:val="32"/>
          <w:rtl/>
        </w:rPr>
        <w:t xml:space="preserve"> وتقديراتهم لعام </w:t>
      </w:r>
      <w:proofErr w:type="spellStart"/>
      <w:r w:rsidRPr="000A5CCE">
        <w:rPr>
          <w:rFonts w:hint="cs"/>
          <w:sz w:val="32"/>
          <w:szCs w:val="32"/>
          <w:rtl/>
        </w:rPr>
        <w:t>2004م</w:t>
      </w:r>
      <w:proofErr w:type="spellEnd"/>
      <w:r w:rsidRPr="000A5CCE">
        <w:rPr>
          <w:rFonts w:hint="cs"/>
          <w:sz w:val="32"/>
          <w:szCs w:val="32"/>
          <w:rtl/>
        </w:rPr>
        <w:t>.</w:t>
      </w:r>
    </w:p>
    <w:p w:rsidR="000A5CCE" w:rsidRPr="000A5CCE" w:rsidRDefault="000A5CCE" w:rsidP="000A5CCE">
      <w:pPr>
        <w:bidi/>
        <w:spacing w:line="480" w:lineRule="auto"/>
        <w:jc w:val="both"/>
        <w:rPr>
          <w:rFonts w:hint="cs"/>
          <w:sz w:val="32"/>
          <w:szCs w:val="32"/>
          <w:rtl/>
        </w:rPr>
      </w:pPr>
      <w:r w:rsidRPr="000A5CCE">
        <w:rPr>
          <w:rFonts w:hint="cs"/>
          <w:sz w:val="32"/>
          <w:szCs w:val="32"/>
          <w:rtl/>
        </w:rPr>
        <w:t xml:space="preserve">وحسب قانون مارك </w:t>
      </w:r>
      <w:proofErr w:type="spellStart"/>
      <w:r w:rsidRPr="000A5CCE">
        <w:rPr>
          <w:rFonts w:hint="cs"/>
          <w:sz w:val="32"/>
          <w:szCs w:val="32"/>
          <w:rtl/>
        </w:rPr>
        <w:t>جيفرسون</w:t>
      </w:r>
      <w:proofErr w:type="spellEnd"/>
      <w:r w:rsidRPr="000A5CCE">
        <w:rPr>
          <w:rFonts w:hint="cs"/>
          <w:sz w:val="32"/>
          <w:szCs w:val="32"/>
          <w:rtl/>
        </w:rPr>
        <w:t xml:space="preserve"> </w:t>
      </w:r>
      <w:r w:rsidRPr="000A5CCE">
        <w:rPr>
          <w:sz w:val="32"/>
          <w:szCs w:val="32"/>
        </w:rPr>
        <w:t xml:space="preserve">Mark Jefferson </w:t>
      </w:r>
      <w:r w:rsidRPr="000A5CCE">
        <w:rPr>
          <w:rFonts w:hint="cs"/>
          <w:sz w:val="32"/>
          <w:szCs w:val="32"/>
          <w:rtl/>
        </w:rPr>
        <w:t xml:space="preserve"> نستنتج أن المدينة الأولى في سورية أقل من مدينة </w:t>
      </w:r>
      <w:proofErr w:type="spellStart"/>
      <w:r w:rsidRPr="000A5CCE">
        <w:rPr>
          <w:rFonts w:hint="cs"/>
          <w:sz w:val="32"/>
          <w:szCs w:val="32"/>
          <w:rtl/>
        </w:rPr>
        <w:t>جيفرسون</w:t>
      </w:r>
      <w:proofErr w:type="spellEnd"/>
      <w:r w:rsidRPr="000A5CCE">
        <w:rPr>
          <w:rFonts w:hint="cs"/>
          <w:sz w:val="32"/>
          <w:szCs w:val="32"/>
          <w:rtl/>
        </w:rPr>
        <w:t xml:space="preserve"> النموذجية ،كذلك نلاحظ هيمنة الأولى على الثانية دون معيار القانون بمرة ونص،الأمر الذي يعني بوجود مدينتين مهيمنتين على باقي المدن السورية في القطر إضافة إلى وجود مدن متوسطة في طريقها أن تعد مدناً كبرى في المستقبل.ونجد أن المدينة المهيمنة هي ليست العاصمة السياسية دمشق كما ينص </w:t>
      </w:r>
      <w:proofErr w:type="spellStart"/>
      <w:r w:rsidRPr="000A5CCE">
        <w:rPr>
          <w:rFonts w:hint="cs"/>
          <w:sz w:val="32"/>
          <w:szCs w:val="32"/>
          <w:rtl/>
        </w:rPr>
        <w:t>القانون،</w:t>
      </w:r>
      <w:proofErr w:type="spellEnd"/>
      <w:r w:rsidRPr="000A5CCE">
        <w:rPr>
          <w:rFonts w:hint="cs"/>
          <w:sz w:val="32"/>
          <w:szCs w:val="32"/>
          <w:rtl/>
        </w:rPr>
        <w:t xml:space="preserve"> مم</w:t>
      </w:r>
      <w:r w:rsidRPr="000A5CCE">
        <w:rPr>
          <w:rFonts w:hint="eastAsia"/>
          <w:sz w:val="32"/>
          <w:szCs w:val="32"/>
          <w:rtl/>
        </w:rPr>
        <w:t>ا</w:t>
      </w:r>
      <w:r w:rsidRPr="000A5CCE">
        <w:rPr>
          <w:rFonts w:hint="cs"/>
          <w:sz w:val="32"/>
          <w:szCs w:val="32"/>
          <w:rtl/>
        </w:rPr>
        <w:t xml:space="preserve"> يشير إلى إمكانية وجود عاصمة أخرى وهي </w:t>
      </w:r>
      <w:proofErr w:type="spellStart"/>
      <w:r w:rsidRPr="000A5CCE">
        <w:rPr>
          <w:rFonts w:hint="cs"/>
          <w:sz w:val="32"/>
          <w:szCs w:val="32"/>
          <w:rtl/>
        </w:rPr>
        <w:t>حلب،</w:t>
      </w:r>
      <w:proofErr w:type="spellEnd"/>
      <w:r w:rsidRPr="000A5CCE">
        <w:rPr>
          <w:rFonts w:hint="cs"/>
          <w:sz w:val="32"/>
          <w:szCs w:val="32"/>
          <w:u w:val="single"/>
          <w:rtl/>
        </w:rPr>
        <w:t xml:space="preserve"> وبالتال</w:t>
      </w:r>
      <w:r w:rsidRPr="000A5CCE">
        <w:rPr>
          <w:rFonts w:hint="eastAsia"/>
          <w:sz w:val="32"/>
          <w:szCs w:val="32"/>
          <w:u w:val="single"/>
          <w:rtl/>
        </w:rPr>
        <w:t>ي</w:t>
      </w:r>
      <w:r w:rsidRPr="000A5CCE">
        <w:rPr>
          <w:rFonts w:hint="cs"/>
          <w:sz w:val="32"/>
          <w:szCs w:val="32"/>
          <w:u w:val="single"/>
          <w:rtl/>
        </w:rPr>
        <w:t xml:space="preserve"> لا يوجد قاعدة للمدينة المهيمنة.</w:t>
      </w:r>
    </w:p>
    <w:p w:rsidR="00370315" w:rsidRPr="000A5CCE" w:rsidRDefault="00370315" w:rsidP="000A5CCE">
      <w:pPr>
        <w:spacing w:line="480" w:lineRule="auto"/>
        <w:rPr>
          <w:sz w:val="32"/>
          <w:szCs w:val="32"/>
        </w:rPr>
      </w:pPr>
    </w:p>
    <w:sectPr w:rsidR="00370315" w:rsidRPr="000A5CCE" w:rsidSect="00F6782E">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4158B5"/>
    <w:multiLevelType w:val="hybridMultilevel"/>
    <w:tmpl w:val="E1983FE6"/>
    <w:lvl w:ilvl="0" w:tplc="1BE0C4EA">
      <w:start w:val="1"/>
      <w:numFmt w:val="decimal"/>
      <w:lvlText w:val="%1-"/>
      <w:lvlJc w:val="left"/>
      <w:pPr>
        <w:tabs>
          <w:tab w:val="num" w:pos="675"/>
        </w:tabs>
        <w:ind w:left="675" w:hanging="360"/>
      </w:pPr>
      <w:rPr>
        <w:rFonts w:hint="default"/>
      </w:rPr>
    </w:lvl>
    <w:lvl w:ilvl="1" w:tplc="04090019" w:tentative="1">
      <w:start w:val="1"/>
      <w:numFmt w:val="lowerLetter"/>
      <w:lvlText w:val="%2."/>
      <w:lvlJc w:val="left"/>
      <w:pPr>
        <w:tabs>
          <w:tab w:val="num" w:pos="1395"/>
        </w:tabs>
        <w:ind w:left="1395" w:hanging="360"/>
      </w:pPr>
    </w:lvl>
    <w:lvl w:ilvl="2" w:tplc="0409001B" w:tentative="1">
      <w:start w:val="1"/>
      <w:numFmt w:val="lowerRoman"/>
      <w:lvlText w:val="%3."/>
      <w:lvlJc w:val="right"/>
      <w:pPr>
        <w:tabs>
          <w:tab w:val="num" w:pos="2115"/>
        </w:tabs>
        <w:ind w:left="2115" w:hanging="180"/>
      </w:pPr>
    </w:lvl>
    <w:lvl w:ilvl="3" w:tplc="0409000F" w:tentative="1">
      <w:start w:val="1"/>
      <w:numFmt w:val="decimal"/>
      <w:lvlText w:val="%4."/>
      <w:lvlJc w:val="left"/>
      <w:pPr>
        <w:tabs>
          <w:tab w:val="num" w:pos="2835"/>
        </w:tabs>
        <w:ind w:left="2835" w:hanging="360"/>
      </w:pPr>
    </w:lvl>
    <w:lvl w:ilvl="4" w:tplc="04090019" w:tentative="1">
      <w:start w:val="1"/>
      <w:numFmt w:val="lowerLetter"/>
      <w:lvlText w:val="%5."/>
      <w:lvlJc w:val="left"/>
      <w:pPr>
        <w:tabs>
          <w:tab w:val="num" w:pos="3555"/>
        </w:tabs>
        <w:ind w:left="3555" w:hanging="360"/>
      </w:pPr>
    </w:lvl>
    <w:lvl w:ilvl="5" w:tplc="0409001B" w:tentative="1">
      <w:start w:val="1"/>
      <w:numFmt w:val="lowerRoman"/>
      <w:lvlText w:val="%6."/>
      <w:lvlJc w:val="right"/>
      <w:pPr>
        <w:tabs>
          <w:tab w:val="num" w:pos="4275"/>
        </w:tabs>
        <w:ind w:left="4275" w:hanging="180"/>
      </w:pPr>
    </w:lvl>
    <w:lvl w:ilvl="6" w:tplc="0409000F" w:tentative="1">
      <w:start w:val="1"/>
      <w:numFmt w:val="decimal"/>
      <w:lvlText w:val="%7."/>
      <w:lvlJc w:val="left"/>
      <w:pPr>
        <w:tabs>
          <w:tab w:val="num" w:pos="4995"/>
        </w:tabs>
        <w:ind w:left="4995" w:hanging="360"/>
      </w:pPr>
    </w:lvl>
    <w:lvl w:ilvl="7" w:tplc="04090019" w:tentative="1">
      <w:start w:val="1"/>
      <w:numFmt w:val="lowerLetter"/>
      <w:lvlText w:val="%8."/>
      <w:lvlJc w:val="left"/>
      <w:pPr>
        <w:tabs>
          <w:tab w:val="num" w:pos="5715"/>
        </w:tabs>
        <w:ind w:left="5715" w:hanging="360"/>
      </w:pPr>
    </w:lvl>
    <w:lvl w:ilvl="8" w:tplc="0409001B" w:tentative="1">
      <w:start w:val="1"/>
      <w:numFmt w:val="lowerRoman"/>
      <w:lvlText w:val="%9."/>
      <w:lvlJc w:val="right"/>
      <w:pPr>
        <w:tabs>
          <w:tab w:val="num" w:pos="6435"/>
        </w:tabs>
        <w:ind w:left="643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0A5CCE"/>
    <w:rsid w:val="000A5CCE"/>
    <w:rsid w:val="001A5A55"/>
    <w:rsid w:val="002201B6"/>
    <w:rsid w:val="00264DB5"/>
    <w:rsid w:val="00370315"/>
    <w:rsid w:val="0074555B"/>
    <w:rsid w:val="00B22E20"/>
    <w:rsid w:val="00F6782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Contemporary"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5CCE"/>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Contemporary"/>
    <w:basedOn w:val="a1"/>
    <w:rsid w:val="000A5CCE"/>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223</Words>
  <Characters>1272</Characters>
  <Application>Microsoft Office Word</Application>
  <DocSecurity>0</DocSecurity>
  <Lines>10</Lines>
  <Paragraphs>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عالم اللاب توب</dc:creator>
  <cp:keywords/>
  <dc:description/>
  <cp:lastModifiedBy>عالم اللاب توب</cp:lastModifiedBy>
  <cp:revision>2</cp:revision>
  <dcterms:created xsi:type="dcterms:W3CDTF">2015-08-25T07:42:00Z</dcterms:created>
  <dcterms:modified xsi:type="dcterms:W3CDTF">2015-08-25T08:06:00Z</dcterms:modified>
</cp:coreProperties>
</file>