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E9D" w:rsidRPr="001C3E9D" w:rsidRDefault="001B01A8" w:rsidP="009D02F4">
      <w:pPr>
        <w:numPr>
          <w:ilvl w:val="0"/>
          <w:numId w:val="1"/>
        </w:numPr>
        <w:bidi/>
        <w:spacing w:line="480" w:lineRule="auto"/>
        <w:jc w:val="both"/>
        <w:rPr>
          <w:rFonts w:hint="cs"/>
          <w:sz w:val="36"/>
          <w:szCs w:val="36"/>
        </w:rPr>
      </w:pPr>
      <w:r w:rsidRPr="009D02F4">
        <w:rPr>
          <w:rFonts w:hint="cs"/>
          <w:sz w:val="36"/>
          <w:szCs w:val="36"/>
          <w:u w:val="single"/>
          <w:rtl/>
        </w:rPr>
        <w:t xml:space="preserve">النمو </w:t>
      </w:r>
      <w:proofErr w:type="spellStart"/>
      <w:r w:rsidRPr="009D02F4">
        <w:rPr>
          <w:rFonts w:hint="cs"/>
          <w:sz w:val="36"/>
          <w:szCs w:val="36"/>
          <w:u w:val="single"/>
          <w:rtl/>
        </w:rPr>
        <w:t>الحضري:</w:t>
      </w:r>
      <w:proofErr w:type="spellEnd"/>
      <w:r w:rsidRPr="009D02F4">
        <w:rPr>
          <w:rFonts w:hint="cs"/>
          <w:sz w:val="32"/>
          <w:szCs w:val="32"/>
          <w:u w:val="single"/>
          <w:rtl/>
        </w:rPr>
        <w:t xml:space="preserve"> </w:t>
      </w:r>
    </w:p>
    <w:p w:rsidR="001B01A8" w:rsidRPr="009D02F4" w:rsidRDefault="001B01A8" w:rsidP="001C3E9D">
      <w:pPr>
        <w:numPr>
          <w:ilvl w:val="0"/>
          <w:numId w:val="1"/>
        </w:numPr>
        <w:bidi/>
        <w:spacing w:line="480" w:lineRule="auto"/>
        <w:jc w:val="both"/>
        <w:rPr>
          <w:rFonts w:hint="cs"/>
          <w:sz w:val="36"/>
          <w:szCs w:val="36"/>
          <w:rtl/>
        </w:rPr>
      </w:pPr>
      <w:r w:rsidRPr="009D02F4">
        <w:rPr>
          <w:rFonts w:hint="cs"/>
          <w:sz w:val="32"/>
          <w:szCs w:val="32"/>
          <w:rtl/>
        </w:rPr>
        <w:t>دراسة النمو الحضري في سورية تعني دراسة عملية تحول المجتمع من مجتمع زراعي بسيط وقليل الاستخدام لوسائل العصر الحديث إلى مجتمع صناعي يتميز بالتعقيد ويعتمد على التقنية الحديثة في جوانب الحياة المختلفة.</w:t>
      </w:r>
    </w:p>
    <w:p w:rsidR="001B01A8" w:rsidRPr="009D02F4" w:rsidRDefault="001B01A8" w:rsidP="009D02F4">
      <w:pPr>
        <w:bidi/>
        <w:spacing w:line="480" w:lineRule="auto"/>
        <w:ind w:left="360"/>
        <w:jc w:val="both"/>
        <w:rPr>
          <w:rFonts w:hint="cs"/>
          <w:sz w:val="32"/>
          <w:szCs w:val="32"/>
          <w:rtl/>
        </w:rPr>
      </w:pPr>
      <w:r w:rsidRPr="009D02F4">
        <w:rPr>
          <w:rFonts w:hint="cs"/>
          <w:sz w:val="32"/>
          <w:szCs w:val="32"/>
          <w:u w:val="single"/>
          <w:rtl/>
        </w:rPr>
        <w:t xml:space="preserve">ففي التاريخ السوري </w:t>
      </w:r>
      <w:proofErr w:type="spellStart"/>
      <w:r w:rsidRPr="009D02F4">
        <w:rPr>
          <w:rFonts w:hint="cs"/>
          <w:sz w:val="32"/>
          <w:szCs w:val="32"/>
          <w:u w:val="single"/>
          <w:rtl/>
        </w:rPr>
        <w:t>القديم:</w:t>
      </w:r>
      <w:proofErr w:type="spellEnd"/>
      <w:r w:rsidRPr="009D02F4">
        <w:rPr>
          <w:rFonts w:hint="cs"/>
          <w:sz w:val="32"/>
          <w:szCs w:val="32"/>
          <w:rtl/>
        </w:rPr>
        <w:t xml:space="preserve"> قامت في سورية مدن كثيرة مثل دمشق وحلب لكل منها تاريخ حافل</w:t>
      </w:r>
    </w:p>
    <w:p w:rsidR="001B01A8" w:rsidRPr="009D02F4" w:rsidRDefault="001B01A8" w:rsidP="009D02F4">
      <w:pPr>
        <w:bidi/>
        <w:spacing w:line="480" w:lineRule="auto"/>
        <w:ind w:left="360"/>
        <w:jc w:val="both"/>
        <w:rPr>
          <w:rFonts w:hint="cs"/>
          <w:sz w:val="32"/>
          <w:szCs w:val="32"/>
          <w:rtl/>
        </w:rPr>
      </w:pPr>
      <w:r w:rsidRPr="009D02F4">
        <w:rPr>
          <w:rFonts w:hint="cs"/>
          <w:sz w:val="32"/>
          <w:szCs w:val="32"/>
          <w:u w:val="single"/>
          <w:rtl/>
        </w:rPr>
        <w:t xml:space="preserve">أما في الفترة </w:t>
      </w:r>
      <w:proofErr w:type="spellStart"/>
      <w:r w:rsidRPr="009D02F4">
        <w:rPr>
          <w:rFonts w:hint="cs"/>
          <w:sz w:val="32"/>
          <w:szCs w:val="32"/>
          <w:u w:val="single"/>
          <w:rtl/>
        </w:rPr>
        <w:t>الحديثة:</w:t>
      </w:r>
      <w:proofErr w:type="spellEnd"/>
      <w:r w:rsidRPr="009D02F4">
        <w:rPr>
          <w:rFonts w:hint="cs"/>
          <w:sz w:val="36"/>
          <w:szCs w:val="36"/>
          <w:rtl/>
        </w:rPr>
        <w:t xml:space="preserve"> </w:t>
      </w:r>
      <w:r w:rsidRPr="009D02F4">
        <w:rPr>
          <w:rFonts w:hint="cs"/>
          <w:sz w:val="32"/>
          <w:szCs w:val="32"/>
          <w:rtl/>
        </w:rPr>
        <w:t>فيمكن أن نميز بين ثلاث مراحل في النمو الحضري للقطر السوري:</w:t>
      </w:r>
    </w:p>
    <w:p w:rsidR="001C3E9D" w:rsidRDefault="001B01A8" w:rsidP="009D02F4">
      <w:pPr>
        <w:bidi/>
        <w:spacing w:line="480" w:lineRule="auto"/>
        <w:ind w:left="360"/>
        <w:jc w:val="both"/>
        <w:rPr>
          <w:rFonts w:hint="cs"/>
          <w:sz w:val="32"/>
          <w:szCs w:val="32"/>
          <w:rtl/>
        </w:rPr>
      </w:pPr>
      <w:r w:rsidRPr="009D02F4">
        <w:rPr>
          <w:rFonts w:hint="cs"/>
          <w:sz w:val="32"/>
          <w:szCs w:val="32"/>
          <w:rtl/>
        </w:rPr>
        <w:t xml:space="preserve">    </w:t>
      </w:r>
      <w:r w:rsidRPr="009D02F4">
        <w:rPr>
          <w:rFonts w:hint="cs"/>
          <w:sz w:val="32"/>
          <w:szCs w:val="32"/>
          <w:u w:val="single"/>
          <w:rtl/>
        </w:rPr>
        <w:t xml:space="preserve">*المرحلة </w:t>
      </w:r>
      <w:proofErr w:type="spellStart"/>
      <w:r w:rsidRPr="009D02F4">
        <w:rPr>
          <w:rFonts w:hint="cs"/>
          <w:sz w:val="32"/>
          <w:szCs w:val="32"/>
          <w:u w:val="single"/>
          <w:rtl/>
        </w:rPr>
        <w:t>الأولى:</w:t>
      </w:r>
      <w:proofErr w:type="spellEnd"/>
      <w:r w:rsidRPr="009D02F4">
        <w:rPr>
          <w:rFonts w:hint="cs"/>
          <w:sz w:val="32"/>
          <w:szCs w:val="32"/>
          <w:rtl/>
        </w:rPr>
        <w:t xml:space="preserve"> </w:t>
      </w:r>
    </w:p>
    <w:p w:rsidR="001B01A8" w:rsidRPr="009D02F4" w:rsidRDefault="001B01A8" w:rsidP="001C3E9D">
      <w:pPr>
        <w:bidi/>
        <w:spacing w:line="480" w:lineRule="auto"/>
        <w:ind w:left="360"/>
        <w:jc w:val="both"/>
        <w:rPr>
          <w:rFonts w:hint="cs"/>
          <w:sz w:val="32"/>
          <w:szCs w:val="32"/>
          <w:rtl/>
        </w:rPr>
      </w:pPr>
      <w:r w:rsidRPr="009D02F4">
        <w:rPr>
          <w:rFonts w:hint="cs"/>
          <w:sz w:val="32"/>
          <w:szCs w:val="32"/>
          <w:rtl/>
        </w:rPr>
        <w:t>تمثل بداية النمو الحضري في عصرنا الحالي وتشمل النصف الثاني من القرن /</w:t>
      </w:r>
      <w:proofErr w:type="spellStart"/>
      <w:r w:rsidRPr="009D02F4">
        <w:rPr>
          <w:rFonts w:hint="cs"/>
          <w:sz w:val="32"/>
          <w:szCs w:val="32"/>
          <w:rtl/>
        </w:rPr>
        <w:t>19م/</w:t>
      </w:r>
      <w:proofErr w:type="spellEnd"/>
      <w:r w:rsidRPr="009D02F4">
        <w:rPr>
          <w:rFonts w:hint="cs"/>
          <w:sz w:val="32"/>
          <w:szCs w:val="32"/>
          <w:rtl/>
        </w:rPr>
        <w:t xml:space="preserve"> وتنتهي مع بداية الحرب العالمية الأولى وفي هذه المرحلة يزيد معدل النمو السكاني على معدل النمو الحضري حيث لم يكن في سورية سوى مدينة دمشق التي يقدر عدد سكانها </w:t>
      </w:r>
      <w:proofErr w:type="spellStart"/>
      <w:r w:rsidRPr="009D02F4">
        <w:rPr>
          <w:rFonts w:hint="cs"/>
          <w:sz w:val="32"/>
          <w:szCs w:val="32"/>
          <w:rtl/>
        </w:rPr>
        <w:t>بحوالي150ألف</w:t>
      </w:r>
      <w:proofErr w:type="spellEnd"/>
      <w:r w:rsidRPr="009D02F4">
        <w:rPr>
          <w:rFonts w:hint="cs"/>
          <w:sz w:val="32"/>
          <w:szCs w:val="32"/>
          <w:rtl/>
        </w:rPr>
        <w:t xml:space="preserve"> نسمة</w:t>
      </w:r>
    </w:p>
    <w:p w:rsidR="001C3E9D" w:rsidRDefault="001B01A8" w:rsidP="009D02F4">
      <w:pPr>
        <w:bidi/>
        <w:spacing w:line="480" w:lineRule="auto"/>
        <w:ind w:left="360"/>
        <w:jc w:val="both"/>
        <w:rPr>
          <w:rFonts w:hint="cs"/>
          <w:sz w:val="32"/>
          <w:szCs w:val="32"/>
          <w:rtl/>
        </w:rPr>
      </w:pPr>
      <w:r w:rsidRPr="009D02F4">
        <w:rPr>
          <w:rFonts w:hint="cs"/>
          <w:sz w:val="32"/>
          <w:szCs w:val="32"/>
          <w:rtl/>
        </w:rPr>
        <w:t xml:space="preserve">    </w:t>
      </w:r>
      <w:r w:rsidRPr="009D02F4">
        <w:rPr>
          <w:rFonts w:hint="cs"/>
          <w:sz w:val="32"/>
          <w:szCs w:val="32"/>
          <w:u w:val="single"/>
          <w:rtl/>
        </w:rPr>
        <w:t xml:space="preserve">*المرحلة </w:t>
      </w:r>
      <w:proofErr w:type="spellStart"/>
      <w:r w:rsidRPr="009D02F4">
        <w:rPr>
          <w:rFonts w:hint="cs"/>
          <w:sz w:val="32"/>
          <w:szCs w:val="32"/>
          <w:u w:val="single"/>
          <w:rtl/>
        </w:rPr>
        <w:t>الثانية:</w:t>
      </w:r>
      <w:proofErr w:type="spellEnd"/>
      <w:r w:rsidRPr="009D02F4">
        <w:rPr>
          <w:rFonts w:hint="cs"/>
          <w:sz w:val="32"/>
          <w:szCs w:val="32"/>
          <w:rtl/>
        </w:rPr>
        <w:t xml:space="preserve"> </w:t>
      </w:r>
    </w:p>
    <w:p w:rsidR="001B01A8" w:rsidRPr="009D02F4" w:rsidRDefault="001B01A8" w:rsidP="001C3E9D">
      <w:pPr>
        <w:bidi/>
        <w:spacing w:line="480" w:lineRule="auto"/>
        <w:ind w:left="360"/>
        <w:jc w:val="both"/>
        <w:rPr>
          <w:rFonts w:hint="cs"/>
          <w:sz w:val="32"/>
          <w:szCs w:val="32"/>
          <w:rtl/>
        </w:rPr>
      </w:pPr>
      <w:r w:rsidRPr="009D02F4">
        <w:rPr>
          <w:rFonts w:hint="cs"/>
          <w:sz w:val="32"/>
          <w:szCs w:val="32"/>
          <w:rtl/>
        </w:rPr>
        <w:t xml:space="preserve">تمثل الفترة الواقعة مابين الحربين العالميتين وفيها يزيد معدل النمو الحضري عن معدل النمو السكاني العام.وترتفع نسبة الحضر إلى 25%من السكان.وتتزامن هذه المرحلة مع نهاية الحكم العثماني وبداية الانتداب الفرنسي </w:t>
      </w:r>
      <w:proofErr w:type="spellStart"/>
      <w:r w:rsidRPr="009D02F4">
        <w:rPr>
          <w:rFonts w:hint="cs"/>
          <w:sz w:val="32"/>
          <w:szCs w:val="32"/>
          <w:rtl/>
        </w:rPr>
        <w:t>أ،</w:t>
      </w:r>
      <w:proofErr w:type="spellEnd"/>
      <w:r w:rsidRPr="009D02F4">
        <w:rPr>
          <w:rFonts w:hint="cs"/>
          <w:sz w:val="32"/>
          <w:szCs w:val="32"/>
          <w:rtl/>
        </w:rPr>
        <w:t xml:space="preserve"> </w:t>
      </w:r>
      <w:proofErr w:type="spellStart"/>
      <w:r w:rsidRPr="009D02F4">
        <w:rPr>
          <w:rFonts w:hint="cs"/>
          <w:sz w:val="32"/>
          <w:szCs w:val="32"/>
          <w:rtl/>
        </w:rPr>
        <w:t>ولذل</w:t>
      </w:r>
      <w:r w:rsidRPr="009D02F4">
        <w:rPr>
          <w:rFonts w:hint="eastAsia"/>
          <w:sz w:val="32"/>
          <w:szCs w:val="32"/>
          <w:rtl/>
        </w:rPr>
        <w:t>ك</w:t>
      </w:r>
      <w:r w:rsidRPr="009D02F4">
        <w:rPr>
          <w:rFonts w:hint="cs"/>
          <w:sz w:val="32"/>
          <w:szCs w:val="32"/>
          <w:rtl/>
        </w:rPr>
        <w:t>ة</w:t>
      </w:r>
      <w:proofErr w:type="spellEnd"/>
      <w:r w:rsidRPr="009D02F4">
        <w:rPr>
          <w:rFonts w:hint="cs"/>
          <w:sz w:val="32"/>
          <w:szCs w:val="32"/>
          <w:rtl/>
        </w:rPr>
        <w:t xml:space="preserve"> الاحتكاك بالحضارة الأوروبية،ولذلك شهدت سورية نموا ملحوظا في </w:t>
      </w:r>
      <w:r w:rsidRPr="009D02F4">
        <w:rPr>
          <w:rFonts w:hint="cs"/>
          <w:sz w:val="32"/>
          <w:szCs w:val="32"/>
          <w:rtl/>
        </w:rPr>
        <w:lastRenderedPageBreak/>
        <w:t>المراكز الحضرية.بدأت بوادره في الحرب العالمية الأولى بسبب فقدان الأمن في الريف وهجرة أبناءه إلى المدن القريبة.</w:t>
      </w:r>
    </w:p>
    <w:p w:rsidR="001C3E9D" w:rsidRDefault="001B01A8" w:rsidP="009D02F4">
      <w:pPr>
        <w:bidi/>
        <w:spacing w:line="480" w:lineRule="auto"/>
        <w:ind w:left="360"/>
        <w:jc w:val="both"/>
        <w:rPr>
          <w:rFonts w:hint="cs"/>
          <w:sz w:val="32"/>
          <w:szCs w:val="32"/>
          <w:rtl/>
        </w:rPr>
      </w:pPr>
      <w:r w:rsidRPr="009D02F4">
        <w:rPr>
          <w:rFonts w:hint="cs"/>
          <w:sz w:val="32"/>
          <w:szCs w:val="32"/>
          <w:rtl/>
        </w:rPr>
        <w:t xml:space="preserve">    </w:t>
      </w:r>
      <w:r w:rsidRPr="009D02F4">
        <w:rPr>
          <w:rFonts w:hint="cs"/>
          <w:sz w:val="32"/>
          <w:szCs w:val="32"/>
          <w:u w:val="single"/>
          <w:rtl/>
        </w:rPr>
        <w:t xml:space="preserve">*المرحلة </w:t>
      </w:r>
      <w:proofErr w:type="spellStart"/>
      <w:r w:rsidRPr="009D02F4">
        <w:rPr>
          <w:rFonts w:hint="cs"/>
          <w:sz w:val="32"/>
          <w:szCs w:val="32"/>
          <w:u w:val="single"/>
          <w:rtl/>
        </w:rPr>
        <w:t>الثالثة:</w:t>
      </w:r>
      <w:proofErr w:type="spellEnd"/>
      <w:r w:rsidRPr="009D02F4">
        <w:rPr>
          <w:rFonts w:hint="cs"/>
          <w:sz w:val="32"/>
          <w:szCs w:val="32"/>
          <w:rtl/>
        </w:rPr>
        <w:t xml:space="preserve"> </w:t>
      </w:r>
    </w:p>
    <w:p w:rsidR="001B01A8" w:rsidRPr="009D02F4" w:rsidRDefault="001B01A8" w:rsidP="001C3E9D">
      <w:pPr>
        <w:bidi/>
        <w:spacing w:line="480" w:lineRule="auto"/>
        <w:ind w:left="360"/>
        <w:jc w:val="both"/>
        <w:rPr>
          <w:rFonts w:hint="cs"/>
          <w:sz w:val="32"/>
          <w:szCs w:val="32"/>
          <w:rtl/>
        </w:rPr>
      </w:pPr>
      <w:r w:rsidRPr="009D02F4">
        <w:rPr>
          <w:rFonts w:hint="cs"/>
          <w:sz w:val="32"/>
          <w:szCs w:val="32"/>
          <w:rtl/>
        </w:rPr>
        <w:t>تبدأ مع بداية الحرب العالمية الثانية،وفيها يفوق معدل الحضر العام معدل السكان بشكل كبير،وترتفع نسبة الحضر إلى أكثر م</w:t>
      </w:r>
      <w:r w:rsidRPr="009D02F4">
        <w:rPr>
          <w:rFonts w:hint="eastAsia"/>
          <w:sz w:val="32"/>
          <w:szCs w:val="32"/>
          <w:rtl/>
        </w:rPr>
        <w:t>ن</w:t>
      </w:r>
      <w:r w:rsidRPr="009D02F4">
        <w:rPr>
          <w:rFonts w:hint="cs"/>
          <w:sz w:val="32"/>
          <w:szCs w:val="32"/>
          <w:rtl/>
        </w:rPr>
        <w:t xml:space="preserve"> خمس السكان،مما يجعل هذه الفترة تمثل مرحلة انفجارية،وعلى هذا الأساس أصبح من المنتظر أن نشهد فترة خصبة من الانفجار المدني في العقود القليلة اللاحقة.فقد تطور حجم السكان الحضر من 33%من مجموع السكان العام عام/</w:t>
      </w:r>
      <w:proofErr w:type="spellStart"/>
      <w:r w:rsidRPr="009D02F4">
        <w:rPr>
          <w:rFonts w:hint="cs"/>
          <w:sz w:val="32"/>
          <w:szCs w:val="32"/>
          <w:rtl/>
        </w:rPr>
        <w:t>1947م</w:t>
      </w:r>
      <w:proofErr w:type="spellEnd"/>
      <w:r w:rsidRPr="009D02F4">
        <w:rPr>
          <w:rFonts w:hint="cs"/>
          <w:sz w:val="32"/>
          <w:szCs w:val="32"/>
          <w:rtl/>
        </w:rPr>
        <w:t>/إلى حوالي 37,5%عام/</w:t>
      </w:r>
      <w:proofErr w:type="spellStart"/>
      <w:r w:rsidRPr="009D02F4">
        <w:rPr>
          <w:rFonts w:hint="cs"/>
          <w:sz w:val="32"/>
          <w:szCs w:val="32"/>
          <w:rtl/>
        </w:rPr>
        <w:t>1960م</w:t>
      </w:r>
      <w:proofErr w:type="spellEnd"/>
      <w:r w:rsidRPr="009D02F4">
        <w:rPr>
          <w:rFonts w:hint="cs"/>
          <w:sz w:val="32"/>
          <w:szCs w:val="32"/>
          <w:rtl/>
        </w:rPr>
        <w:t>/وارتفع هذا الحجم إلى 43,5%عام/</w:t>
      </w:r>
      <w:proofErr w:type="spellStart"/>
      <w:r w:rsidRPr="009D02F4">
        <w:rPr>
          <w:rFonts w:hint="cs"/>
          <w:sz w:val="32"/>
          <w:szCs w:val="32"/>
          <w:rtl/>
        </w:rPr>
        <w:t>1970م/</w:t>
      </w:r>
      <w:proofErr w:type="spellEnd"/>
      <w:r w:rsidRPr="009D02F4">
        <w:rPr>
          <w:rFonts w:hint="cs"/>
          <w:sz w:val="32"/>
          <w:szCs w:val="32"/>
          <w:rtl/>
        </w:rPr>
        <w:t xml:space="preserve"> والى 47%عام/</w:t>
      </w:r>
      <w:proofErr w:type="spellStart"/>
      <w:r w:rsidRPr="009D02F4">
        <w:rPr>
          <w:rFonts w:hint="cs"/>
          <w:sz w:val="32"/>
          <w:szCs w:val="32"/>
          <w:rtl/>
        </w:rPr>
        <w:t>1981م/.</w:t>
      </w:r>
      <w:proofErr w:type="spellEnd"/>
      <w:r w:rsidRPr="009D02F4">
        <w:rPr>
          <w:rFonts w:hint="cs"/>
          <w:sz w:val="32"/>
          <w:szCs w:val="32"/>
          <w:rtl/>
        </w:rPr>
        <w:t xml:space="preserve"> </w:t>
      </w:r>
    </w:p>
    <w:p w:rsidR="001B01A8" w:rsidRPr="009D02F4" w:rsidRDefault="001B01A8" w:rsidP="009D02F4">
      <w:pPr>
        <w:bidi/>
        <w:spacing w:line="480" w:lineRule="auto"/>
        <w:ind w:left="360"/>
        <w:jc w:val="both"/>
        <w:rPr>
          <w:rFonts w:hint="cs"/>
          <w:sz w:val="36"/>
          <w:szCs w:val="36"/>
          <w:rtl/>
        </w:rPr>
      </w:pPr>
      <w:r w:rsidRPr="009D02F4">
        <w:rPr>
          <w:rFonts w:hint="cs"/>
          <w:sz w:val="36"/>
          <w:szCs w:val="36"/>
          <w:rtl/>
        </w:rPr>
        <w:t xml:space="preserve">                  (</w:t>
      </w:r>
      <w:proofErr w:type="spellStart"/>
      <w:r w:rsidRPr="009D02F4">
        <w:rPr>
          <w:rFonts w:hint="cs"/>
          <w:sz w:val="36"/>
          <w:szCs w:val="36"/>
          <w:rtl/>
        </w:rPr>
        <w:t>1960م)</w:t>
      </w:r>
      <w:proofErr w:type="spellEnd"/>
      <w:r w:rsidRPr="009D02F4">
        <w:rPr>
          <w:rFonts w:hint="cs"/>
          <w:sz w:val="36"/>
          <w:szCs w:val="36"/>
          <w:rtl/>
        </w:rPr>
        <w:t xml:space="preserve">            ــــ          (</w:t>
      </w:r>
      <w:proofErr w:type="spellStart"/>
      <w:r w:rsidRPr="009D02F4">
        <w:rPr>
          <w:rFonts w:hint="cs"/>
          <w:sz w:val="36"/>
          <w:szCs w:val="36"/>
          <w:rtl/>
        </w:rPr>
        <w:t>1970م)</w:t>
      </w:r>
      <w:proofErr w:type="spellEnd"/>
      <w:r w:rsidRPr="009D02F4">
        <w:rPr>
          <w:rFonts w:hint="cs"/>
          <w:sz w:val="36"/>
          <w:szCs w:val="36"/>
          <w:rtl/>
        </w:rPr>
        <w:t xml:space="preserve">            ــــ          (</w:t>
      </w:r>
      <w:proofErr w:type="spellStart"/>
      <w:r w:rsidRPr="009D02F4">
        <w:rPr>
          <w:rFonts w:hint="cs"/>
          <w:sz w:val="36"/>
          <w:szCs w:val="36"/>
          <w:rtl/>
        </w:rPr>
        <w:t>1981م)</w:t>
      </w:r>
      <w:proofErr w:type="spellEnd"/>
    </w:p>
    <w:tbl>
      <w:tblPr>
        <w:tblStyle w:val="a3"/>
        <w:bidiVisual/>
        <w:tblW w:w="0" w:type="auto"/>
        <w:tblLook w:val="01E0"/>
      </w:tblPr>
      <w:tblGrid>
        <w:gridCol w:w="853"/>
        <w:gridCol w:w="787"/>
        <w:gridCol w:w="737"/>
        <w:gridCol w:w="991"/>
        <w:gridCol w:w="787"/>
        <w:gridCol w:w="737"/>
        <w:gridCol w:w="991"/>
        <w:gridCol w:w="911"/>
        <w:gridCol w:w="737"/>
        <w:gridCol w:w="991"/>
      </w:tblGrid>
      <w:tr w:rsidR="001B01A8" w:rsidRPr="009D02F4" w:rsidTr="008D6419">
        <w:trPr>
          <w:cnfStyle w:val="100000000000"/>
        </w:trPr>
        <w:tc>
          <w:tcPr>
            <w:tcW w:w="885" w:type="dxa"/>
            <w:vAlign w:val="center"/>
          </w:tcPr>
          <w:p w:rsidR="001B01A8" w:rsidRPr="009D02F4" w:rsidRDefault="001B01A8" w:rsidP="009D02F4">
            <w:pPr>
              <w:bidi/>
              <w:spacing w:line="480" w:lineRule="auto"/>
              <w:jc w:val="center"/>
              <w:rPr>
                <w:rFonts w:hint="cs"/>
                <w:sz w:val="32"/>
                <w:szCs w:val="32"/>
                <w:rtl/>
              </w:rPr>
            </w:pPr>
            <w:r w:rsidRPr="009D02F4">
              <w:rPr>
                <w:rFonts w:hint="cs"/>
                <w:sz w:val="32"/>
                <w:szCs w:val="32"/>
                <w:rtl/>
              </w:rPr>
              <w:t>المدينة</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حضر</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ريف</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مجموع</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حضر</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ريف</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مجموع</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حضر</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ريف</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مجموع</w:t>
            </w:r>
          </w:p>
        </w:tc>
      </w:tr>
      <w:tr w:rsidR="001B01A8" w:rsidRPr="009D02F4" w:rsidTr="008D6419">
        <w:trPr>
          <w:cnfStyle w:val="000000100000"/>
        </w:trPr>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دمشق</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530</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ـــــ</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530</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837</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ـــــ</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837</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1112</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ـــــ</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1112</w:t>
            </w:r>
          </w:p>
        </w:tc>
      </w:tr>
      <w:tr w:rsidR="001B01A8" w:rsidRPr="009D02F4" w:rsidTr="008D6419">
        <w:trPr>
          <w:cnfStyle w:val="000000010000"/>
        </w:trPr>
        <w:tc>
          <w:tcPr>
            <w:tcW w:w="885" w:type="dxa"/>
            <w:vAlign w:val="center"/>
          </w:tcPr>
          <w:p w:rsidR="001B01A8" w:rsidRPr="009D02F4" w:rsidRDefault="001B01A8" w:rsidP="009D02F4">
            <w:pPr>
              <w:bidi/>
              <w:spacing w:line="480" w:lineRule="auto"/>
              <w:jc w:val="center"/>
              <w:rPr>
                <w:rFonts w:hint="cs"/>
                <w:b/>
                <w:bCs/>
                <w:rtl/>
              </w:rPr>
            </w:pPr>
            <w:r w:rsidRPr="009D02F4">
              <w:rPr>
                <w:rFonts w:hint="cs"/>
                <w:b/>
                <w:bCs/>
                <w:rtl/>
              </w:rPr>
              <w:t>ريف دمشق</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74</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39</w:t>
            </w:r>
            <w:r w:rsidRPr="009D02F4">
              <w:rPr>
                <w:rFonts w:hint="cs"/>
                <w:sz w:val="36"/>
                <w:szCs w:val="36"/>
                <w:rtl/>
              </w:rPr>
              <w:lastRenderedPageBreak/>
              <w:t>9</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lastRenderedPageBreak/>
              <w:t>473</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183</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43</w:t>
            </w:r>
            <w:r w:rsidRPr="009D02F4">
              <w:rPr>
                <w:rFonts w:hint="cs"/>
                <w:sz w:val="36"/>
                <w:szCs w:val="36"/>
                <w:rtl/>
              </w:rPr>
              <w:lastRenderedPageBreak/>
              <w:t>9</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lastRenderedPageBreak/>
              <w:t>621</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332</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58</w:t>
            </w:r>
            <w:r w:rsidRPr="009D02F4">
              <w:rPr>
                <w:rFonts w:hint="cs"/>
                <w:sz w:val="36"/>
                <w:szCs w:val="36"/>
                <w:rtl/>
              </w:rPr>
              <w:lastRenderedPageBreak/>
              <w:t>5</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lastRenderedPageBreak/>
              <w:t>917</w:t>
            </w:r>
          </w:p>
        </w:tc>
      </w:tr>
      <w:tr w:rsidR="001B01A8" w:rsidRPr="009D02F4" w:rsidTr="008D6419">
        <w:trPr>
          <w:cnfStyle w:val="000000100000"/>
        </w:trPr>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lastRenderedPageBreak/>
              <w:t>حلب</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474</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483</w:t>
            </w: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957</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708</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609</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1317</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1122</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757</w:t>
            </w: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1879</w:t>
            </w:r>
          </w:p>
        </w:tc>
      </w:tr>
      <w:tr w:rsidR="001B01A8" w:rsidRPr="009D02F4" w:rsidTr="008D6419">
        <w:trPr>
          <w:cnfStyle w:val="000000010000"/>
        </w:trPr>
        <w:tc>
          <w:tcPr>
            <w:tcW w:w="885" w:type="dxa"/>
            <w:vAlign w:val="center"/>
          </w:tcPr>
          <w:p w:rsidR="001B01A8" w:rsidRPr="009D02F4" w:rsidRDefault="001B01A8" w:rsidP="009D02F4">
            <w:pPr>
              <w:bidi/>
              <w:spacing w:line="480" w:lineRule="auto"/>
              <w:jc w:val="center"/>
              <w:rPr>
                <w:rFonts w:hint="cs"/>
                <w:sz w:val="36"/>
                <w:szCs w:val="36"/>
                <w:rtl/>
              </w:rPr>
            </w:pPr>
          </w:p>
        </w:tc>
        <w:tc>
          <w:tcPr>
            <w:tcW w:w="885" w:type="dxa"/>
            <w:vAlign w:val="center"/>
          </w:tcPr>
          <w:p w:rsidR="001B01A8" w:rsidRPr="009D02F4" w:rsidRDefault="001B01A8" w:rsidP="009D02F4">
            <w:pPr>
              <w:bidi/>
              <w:spacing w:line="480" w:lineRule="auto"/>
              <w:jc w:val="center"/>
              <w:rPr>
                <w:rFonts w:hint="cs"/>
                <w:sz w:val="36"/>
                <w:szCs w:val="36"/>
                <w:rtl/>
              </w:rPr>
            </w:pPr>
          </w:p>
        </w:tc>
        <w:tc>
          <w:tcPr>
            <w:tcW w:w="885" w:type="dxa"/>
            <w:vAlign w:val="center"/>
          </w:tcPr>
          <w:p w:rsidR="001B01A8" w:rsidRPr="009D02F4" w:rsidRDefault="001B01A8" w:rsidP="009D02F4">
            <w:pPr>
              <w:bidi/>
              <w:spacing w:line="480" w:lineRule="auto"/>
              <w:jc w:val="center"/>
              <w:rPr>
                <w:rFonts w:hint="cs"/>
                <w:sz w:val="36"/>
                <w:szCs w:val="36"/>
                <w:rtl/>
              </w:rPr>
            </w:pPr>
          </w:p>
        </w:tc>
        <w:tc>
          <w:tcPr>
            <w:tcW w:w="885"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4565</w:t>
            </w:r>
          </w:p>
        </w:tc>
        <w:tc>
          <w:tcPr>
            <w:tcW w:w="886" w:type="dxa"/>
            <w:vAlign w:val="center"/>
          </w:tcPr>
          <w:p w:rsidR="001B01A8" w:rsidRPr="009D02F4" w:rsidRDefault="001B01A8" w:rsidP="009D02F4">
            <w:pPr>
              <w:bidi/>
              <w:spacing w:line="480" w:lineRule="auto"/>
              <w:jc w:val="center"/>
              <w:rPr>
                <w:rFonts w:hint="cs"/>
                <w:sz w:val="36"/>
                <w:szCs w:val="36"/>
                <w:rtl/>
              </w:rPr>
            </w:pPr>
          </w:p>
        </w:tc>
        <w:tc>
          <w:tcPr>
            <w:tcW w:w="886" w:type="dxa"/>
            <w:vAlign w:val="center"/>
          </w:tcPr>
          <w:p w:rsidR="001B01A8" w:rsidRPr="009D02F4" w:rsidRDefault="001B01A8" w:rsidP="009D02F4">
            <w:pPr>
              <w:bidi/>
              <w:spacing w:line="480" w:lineRule="auto"/>
              <w:jc w:val="center"/>
              <w:rPr>
                <w:rFonts w:hint="cs"/>
                <w:sz w:val="36"/>
                <w:szCs w:val="36"/>
                <w:rtl/>
              </w:rPr>
            </w:pP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6305</w:t>
            </w:r>
          </w:p>
        </w:tc>
        <w:tc>
          <w:tcPr>
            <w:tcW w:w="886" w:type="dxa"/>
            <w:vAlign w:val="center"/>
          </w:tcPr>
          <w:p w:rsidR="001B01A8" w:rsidRPr="009D02F4" w:rsidRDefault="001B01A8" w:rsidP="009D02F4">
            <w:pPr>
              <w:bidi/>
              <w:spacing w:line="480" w:lineRule="auto"/>
              <w:jc w:val="center"/>
              <w:rPr>
                <w:rFonts w:hint="cs"/>
                <w:sz w:val="36"/>
                <w:szCs w:val="36"/>
                <w:rtl/>
              </w:rPr>
            </w:pPr>
          </w:p>
        </w:tc>
        <w:tc>
          <w:tcPr>
            <w:tcW w:w="886" w:type="dxa"/>
            <w:vAlign w:val="center"/>
          </w:tcPr>
          <w:p w:rsidR="001B01A8" w:rsidRPr="009D02F4" w:rsidRDefault="001B01A8" w:rsidP="009D02F4">
            <w:pPr>
              <w:bidi/>
              <w:spacing w:line="480" w:lineRule="auto"/>
              <w:jc w:val="center"/>
              <w:rPr>
                <w:rFonts w:hint="cs"/>
                <w:sz w:val="36"/>
                <w:szCs w:val="36"/>
                <w:rtl/>
              </w:rPr>
            </w:pPr>
          </w:p>
        </w:tc>
        <w:tc>
          <w:tcPr>
            <w:tcW w:w="886" w:type="dxa"/>
            <w:vAlign w:val="center"/>
          </w:tcPr>
          <w:p w:rsidR="001B01A8" w:rsidRPr="009D02F4" w:rsidRDefault="001B01A8" w:rsidP="009D02F4">
            <w:pPr>
              <w:bidi/>
              <w:spacing w:line="480" w:lineRule="auto"/>
              <w:jc w:val="center"/>
              <w:rPr>
                <w:rFonts w:hint="cs"/>
                <w:sz w:val="36"/>
                <w:szCs w:val="36"/>
                <w:rtl/>
              </w:rPr>
            </w:pPr>
            <w:r w:rsidRPr="009D02F4">
              <w:rPr>
                <w:rFonts w:hint="cs"/>
                <w:sz w:val="36"/>
                <w:szCs w:val="36"/>
                <w:rtl/>
              </w:rPr>
              <w:t>9053</w:t>
            </w:r>
          </w:p>
        </w:tc>
      </w:tr>
    </w:tbl>
    <w:p w:rsidR="00370315" w:rsidRPr="009D02F4" w:rsidRDefault="00370315" w:rsidP="009D02F4">
      <w:pPr>
        <w:spacing w:line="480" w:lineRule="auto"/>
        <w:rPr>
          <w:sz w:val="32"/>
          <w:szCs w:val="32"/>
        </w:rPr>
      </w:pPr>
    </w:p>
    <w:sectPr w:rsidR="00370315" w:rsidRPr="009D02F4"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719EF"/>
    <w:multiLevelType w:val="hybridMultilevel"/>
    <w:tmpl w:val="CE54F1C4"/>
    <w:lvl w:ilvl="0" w:tplc="7AAED056">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B01A8"/>
    <w:rsid w:val="001A5A55"/>
    <w:rsid w:val="001B01A8"/>
    <w:rsid w:val="001C3E9D"/>
    <w:rsid w:val="002201B6"/>
    <w:rsid w:val="00370315"/>
    <w:rsid w:val="0074555B"/>
    <w:rsid w:val="009D02F4"/>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1A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rsid w:val="001B01A8"/>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4</cp:revision>
  <dcterms:created xsi:type="dcterms:W3CDTF">2015-08-25T07:21:00Z</dcterms:created>
  <dcterms:modified xsi:type="dcterms:W3CDTF">2015-08-25T07:22:00Z</dcterms:modified>
</cp:coreProperties>
</file>