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3EB" w:rsidRPr="00927E63" w:rsidRDefault="000B43EB" w:rsidP="000B43EB">
      <w:pPr>
        <w:jc w:val="lowKashida"/>
        <w:rPr>
          <w:rFonts w:cs="MCS Taybah S_U normal." w:hint="cs"/>
          <w:szCs w:val="40"/>
          <w:rtl/>
        </w:rPr>
      </w:pPr>
      <w:r w:rsidRPr="00927E63">
        <w:rPr>
          <w:rFonts w:cs="MCS Taybah S_U normal." w:hint="cs"/>
          <w:szCs w:val="40"/>
          <w:rtl/>
        </w:rPr>
        <w:t xml:space="preserve">العمالة المتخصصة في الفنادق الكبرى في بغداد الأعداد والاحتياجات </w:t>
      </w:r>
    </w:p>
    <w:p w:rsidR="000B43EB" w:rsidRPr="00E60E8F" w:rsidRDefault="000B43EB" w:rsidP="000B43EB">
      <w:pPr>
        <w:jc w:val="lowKashida"/>
        <w:rPr>
          <w:rFonts w:cs="Simplified Arabic" w:hint="cs"/>
          <w:sz w:val="28"/>
          <w:szCs w:val="28"/>
          <w:rtl/>
          <w:lang w:bidi="ar-IQ"/>
        </w:rPr>
      </w:pPr>
      <w:r w:rsidRPr="00E60E8F">
        <w:rPr>
          <w:rFonts w:cs="Simplified Arabic" w:hint="cs"/>
          <w:sz w:val="28"/>
          <w:szCs w:val="28"/>
          <w:rtl/>
          <w:lang w:bidi="ar-IQ"/>
        </w:rPr>
        <w:t xml:space="preserve">في الجدول  الذي يوضح أعداد العاملين في فنادق القطاع العام والمختلط في العراق لعام </w:t>
      </w:r>
      <w:r w:rsidRPr="00E60E8F">
        <w:rPr>
          <w:rFonts w:cs="Simplified Arabic"/>
          <w:sz w:val="28"/>
          <w:szCs w:val="28"/>
          <w:lang w:bidi="ar-IQ"/>
        </w:rPr>
        <w:t>2010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 كان عدد العاملين في هذه الفنادق قد بلغ </w:t>
      </w:r>
      <w:r w:rsidRPr="00E60E8F">
        <w:rPr>
          <w:rFonts w:cs="Simplified Arabic"/>
          <w:sz w:val="28"/>
          <w:szCs w:val="28"/>
          <w:lang w:bidi="ar-IQ"/>
        </w:rPr>
        <w:t>2272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عاملاً وهي </w:t>
      </w:r>
      <w:r>
        <w:rPr>
          <w:rFonts w:cs="Simplified Arabic" w:hint="cs"/>
          <w:sz w:val="28"/>
          <w:szCs w:val="28"/>
          <w:rtl/>
          <w:lang w:bidi="ar-IQ"/>
        </w:rPr>
        <w:t xml:space="preserve">من 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دون شك نسبة كبيرة في سوق العمل السياحي </w:t>
      </w:r>
    </w:p>
    <w:p w:rsidR="000B43EB" w:rsidRPr="00B60ACC" w:rsidRDefault="000B43EB" w:rsidP="000B43EB">
      <w:pPr>
        <w:jc w:val="lowKashida"/>
        <w:rPr>
          <w:rFonts w:cs="Simplified Arabic" w:hint="cs"/>
          <w:sz w:val="6"/>
          <w:szCs w:val="6"/>
          <w:rtl/>
          <w:lang w:bidi="ar-IQ"/>
        </w:rPr>
      </w:pPr>
    </w:p>
    <w:p w:rsidR="000B43EB" w:rsidRDefault="000B43EB" w:rsidP="000B43EB">
      <w:pPr>
        <w:ind w:right="-540"/>
        <w:jc w:val="center"/>
        <w:rPr>
          <w:rFonts w:cs="Simplified Arabic" w:hint="cs"/>
          <w:b/>
          <w:bCs/>
          <w:rtl/>
          <w:lang w:bidi="ar-IQ"/>
        </w:rPr>
      </w:pPr>
      <w:r w:rsidRPr="00E60E8F">
        <w:rPr>
          <w:rFonts w:cs="Simplified Arabic" w:hint="cs"/>
          <w:b/>
          <w:bCs/>
          <w:rtl/>
          <w:lang w:bidi="ar-IQ"/>
        </w:rPr>
        <w:t xml:space="preserve">جدول </w:t>
      </w:r>
    </w:p>
    <w:p w:rsidR="000B43EB" w:rsidRPr="00E60E8F" w:rsidRDefault="000B43EB" w:rsidP="000B43EB">
      <w:pPr>
        <w:ind w:right="-540"/>
        <w:jc w:val="center"/>
        <w:rPr>
          <w:rFonts w:cs="Simplified Arabic" w:hint="cs"/>
          <w:b/>
          <w:bCs/>
          <w:rtl/>
          <w:lang w:bidi="ar-IQ"/>
        </w:rPr>
      </w:pPr>
      <w:r w:rsidRPr="00E60E8F">
        <w:rPr>
          <w:rFonts w:cs="Simplified Arabic" w:hint="cs"/>
          <w:b/>
          <w:bCs/>
          <w:rtl/>
          <w:lang w:bidi="ar-IQ"/>
        </w:rPr>
        <w:t xml:space="preserve">أعداد العاملين في فنادق القطاع العام والمختلط في العراق ونسب العاملين ذوي التعليم السياحي لعام </w:t>
      </w:r>
      <w:r w:rsidRPr="00E60E8F">
        <w:rPr>
          <w:rFonts w:cs="Simplified Arabic"/>
          <w:b/>
          <w:bCs/>
          <w:lang w:bidi="ar-IQ"/>
        </w:rPr>
        <w:t xml:space="preserve">2010 </w:t>
      </w:r>
    </w:p>
    <w:p w:rsidR="000B43EB" w:rsidRPr="00F74C73" w:rsidRDefault="000B43EB" w:rsidP="000B43EB">
      <w:pPr>
        <w:jc w:val="center"/>
        <w:rPr>
          <w:rFonts w:cs="Simplified Arabic" w:hint="cs"/>
          <w:b/>
          <w:bCs/>
          <w:sz w:val="2"/>
          <w:szCs w:val="2"/>
          <w:rtl/>
          <w:lang w:bidi="ar-IQ"/>
        </w:rPr>
      </w:pPr>
    </w:p>
    <w:tbl>
      <w:tblPr>
        <w:tblStyle w:val="a3"/>
        <w:bidiVisual/>
        <w:tblW w:w="6915" w:type="dxa"/>
        <w:jc w:val="center"/>
        <w:tblInd w:w="-69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</w:tblBorders>
        <w:tblLook w:val="01E0"/>
      </w:tblPr>
      <w:tblGrid>
        <w:gridCol w:w="816"/>
        <w:gridCol w:w="1076"/>
        <w:gridCol w:w="1256"/>
        <w:gridCol w:w="897"/>
        <w:gridCol w:w="896"/>
        <w:gridCol w:w="898"/>
        <w:gridCol w:w="1076"/>
      </w:tblGrid>
      <w:tr w:rsidR="000B43EB" w:rsidRPr="009E63C3" w:rsidTr="00C84C5B">
        <w:trPr>
          <w:jc w:val="center"/>
        </w:trPr>
        <w:tc>
          <w:tcPr>
            <w:tcW w:w="795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/>
                <w:sz w:val="22"/>
                <w:szCs w:val="22"/>
                <w:lang w:bidi="ar-IQ"/>
              </w:rPr>
            </w:pPr>
            <w:r w:rsidRPr="009E63C3">
              <w:rPr>
                <w:rFonts w:cs="Simplified Arabic" w:hint="cs"/>
                <w:sz w:val="22"/>
                <w:szCs w:val="22"/>
                <w:rtl/>
                <w:lang w:bidi="ar-IQ"/>
              </w:rPr>
              <w:t>الفندق</w:t>
            </w:r>
          </w:p>
        </w:tc>
        <w:tc>
          <w:tcPr>
            <w:tcW w:w="1080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/>
                <w:sz w:val="22"/>
                <w:szCs w:val="22"/>
                <w:lang w:bidi="ar-IQ"/>
              </w:rPr>
            </w:pPr>
            <w:r w:rsidRPr="009E63C3">
              <w:rPr>
                <w:rFonts w:cs="Simplified Arabic" w:hint="cs"/>
                <w:sz w:val="22"/>
                <w:szCs w:val="22"/>
                <w:rtl/>
                <w:lang w:bidi="ar-IQ"/>
              </w:rPr>
              <w:t>عدد العاملين</w:t>
            </w:r>
          </w:p>
        </w:tc>
        <w:tc>
          <w:tcPr>
            <w:tcW w:w="1260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/>
                <w:sz w:val="22"/>
                <w:szCs w:val="22"/>
                <w:lang w:bidi="ar-IQ"/>
              </w:rPr>
            </w:pPr>
            <w:r w:rsidRPr="009E63C3">
              <w:rPr>
                <w:rFonts w:cs="Simplified Arabic" w:hint="cs"/>
                <w:sz w:val="22"/>
                <w:szCs w:val="22"/>
                <w:rtl/>
                <w:lang w:bidi="ar-IQ"/>
              </w:rPr>
              <w:t>بكالوريوس سياحة</w:t>
            </w:r>
          </w:p>
        </w:tc>
        <w:tc>
          <w:tcPr>
            <w:tcW w:w="900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/>
                <w:sz w:val="22"/>
                <w:szCs w:val="22"/>
                <w:lang w:bidi="ar-IQ"/>
              </w:rPr>
            </w:pPr>
            <w:r w:rsidRPr="009E63C3">
              <w:rPr>
                <w:rFonts w:cs="Simplified Arabic" w:hint="cs"/>
                <w:sz w:val="22"/>
                <w:szCs w:val="22"/>
                <w:rtl/>
                <w:lang w:bidi="ar-IQ"/>
              </w:rPr>
              <w:t>دبلوم سياحة</w:t>
            </w:r>
          </w:p>
        </w:tc>
        <w:tc>
          <w:tcPr>
            <w:tcW w:w="900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/>
                <w:sz w:val="22"/>
                <w:szCs w:val="22"/>
                <w:lang w:bidi="ar-IQ"/>
              </w:rPr>
            </w:pPr>
            <w:r w:rsidRPr="009E63C3">
              <w:rPr>
                <w:rFonts w:cs="Simplified Arabic" w:hint="cs"/>
                <w:sz w:val="22"/>
                <w:szCs w:val="22"/>
                <w:rtl/>
                <w:lang w:bidi="ar-IQ"/>
              </w:rPr>
              <w:t>دبلوم فندقه</w:t>
            </w:r>
          </w:p>
        </w:tc>
        <w:tc>
          <w:tcPr>
            <w:tcW w:w="900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/>
                <w:sz w:val="22"/>
                <w:szCs w:val="22"/>
                <w:lang w:bidi="ar-IQ"/>
              </w:rPr>
            </w:pPr>
            <w:r w:rsidRPr="009E63C3">
              <w:rPr>
                <w:rFonts w:cs="Simplified Arabic" w:hint="cs"/>
                <w:sz w:val="22"/>
                <w:szCs w:val="22"/>
                <w:rtl/>
                <w:lang w:bidi="ar-IQ"/>
              </w:rPr>
              <w:t>المجموع</w:t>
            </w:r>
          </w:p>
        </w:tc>
        <w:tc>
          <w:tcPr>
            <w:tcW w:w="1080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/>
                <w:sz w:val="22"/>
                <w:szCs w:val="22"/>
                <w:lang w:bidi="ar-IQ"/>
              </w:rPr>
            </w:pPr>
            <w:r w:rsidRPr="009E63C3">
              <w:rPr>
                <w:rFonts w:cs="Simplified Arabic" w:hint="cs"/>
                <w:sz w:val="22"/>
                <w:szCs w:val="22"/>
                <w:rtl/>
                <w:lang w:bidi="ar-IQ"/>
              </w:rPr>
              <w:t>ال</w:t>
            </w:r>
            <w:r>
              <w:rPr>
                <w:rFonts w:cs="Simplified Arabic" w:hint="cs"/>
                <w:sz w:val="22"/>
                <w:szCs w:val="22"/>
                <w:rtl/>
                <w:lang w:bidi="ar-IQ"/>
              </w:rPr>
              <w:t>أهمية</w:t>
            </w:r>
            <w:r w:rsidRPr="009E63C3">
              <w:rPr>
                <w:rFonts w:cs="Simplified Arabic" w:hint="cs"/>
                <w:sz w:val="22"/>
                <w:szCs w:val="22"/>
                <w:rtl/>
                <w:lang w:bidi="ar-IQ"/>
              </w:rPr>
              <w:t xml:space="preserve"> النسبية</w:t>
            </w:r>
          </w:p>
        </w:tc>
      </w:tr>
      <w:tr w:rsidR="000B43EB" w:rsidRPr="009E63C3" w:rsidTr="00C84C5B">
        <w:trPr>
          <w:jc w:val="center"/>
        </w:trPr>
        <w:tc>
          <w:tcPr>
            <w:tcW w:w="795" w:type="dxa"/>
            <w:tcBorders>
              <w:top w:val="single" w:sz="4" w:space="0" w:color="auto"/>
            </w:tcBorders>
            <w:vAlign w:val="center"/>
          </w:tcPr>
          <w:p w:rsidR="000B43EB" w:rsidRPr="009E63C3" w:rsidRDefault="000B43EB" w:rsidP="00C84C5B">
            <w:pPr>
              <w:jc w:val="lowKashida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r w:rsidRPr="009E63C3">
              <w:rPr>
                <w:rFonts w:cs="Simplified Arabic" w:hint="cs"/>
                <w:sz w:val="22"/>
                <w:szCs w:val="22"/>
                <w:rtl/>
                <w:lang w:bidi="ar-IQ"/>
              </w:rPr>
              <w:t>الرشيد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lang w:bidi="ar-IQ"/>
              </w:rPr>
              <w:t>798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lang w:bidi="ar-IQ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lang w:bidi="ar-IQ"/>
              </w:rPr>
              <w:t>20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lang w:bidi="ar-IQ"/>
              </w:rPr>
              <w:t>65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lang w:bidi="ar-IQ"/>
              </w:rPr>
              <w:t>86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lang w:bidi="ar-IQ"/>
              </w:rPr>
              <w:t>10.7</w:t>
            </w:r>
            <w:proofErr w:type="spellStart"/>
            <w:r w:rsidRPr="009E63C3">
              <w:rPr>
                <w:rFonts w:cs="Simplified Arabic" w:hint="cs"/>
                <w:sz w:val="22"/>
                <w:szCs w:val="22"/>
                <w:rtl/>
                <w:lang w:bidi="ar-IQ"/>
              </w:rPr>
              <w:t>%</w:t>
            </w:r>
            <w:proofErr w:type="spellEnd"/>
          </w:p>
        </w:tc>
      </w:tr>
      <w:tr w:rsidR="000B43EB" w:rsidRPr="009E63C3" w:rsidTr="00C84C5B">
        <w:trPr>
          <w:jc w:val="center"/>
        </w:trPr>
        <w:tc>
          <w:tcPr>
            <w:tcW w:w="795" w:type="dxa"/>
            <w:vAlign w:val="center"/>
          </w:tcPr>
          <w:p w:rsidR="000B43EB" w:rsidRPr="009E63C3" w:rsidRDefault="000B43EB" w:rsidP="00C84C5B">
            <w:pPr>
              <w:jc w:val="lowKashida"/>
              <w:rPr>
                <w:rFonts w:cs="Simplified Arabic"/>
                <w:sz w:val="22"/>
                <w:szCs w:val="22"/>
                <w:lang w:bidi="ar-IQ"/>
              </w:rPr>
            </w:pPr>
            <w:r w:rsidRPr="009E63C3">
              <w:rPr>
                <w:rFonts w:cs="Simplified Arabic" w:hint="cs"/>
                <w:sz w:val="22"/>
                <w:szCs w:val="22"/>
                <w:rtl/>
                <w:lang w:bidi="ar-IQ"/>
              </w:rPr>
              <w:t>المنصور</w:t>
            </w:r>
          </w:p>
        </w:tc>
        <w:tc>
          <w:tcPr>
            <w:tcW w:w="1080" w:type="dxa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/>
                <w:sz w:val="22"/>
                <w:szCs w:val="22"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lang w:bidi="ar-IQ"/>
              </w:rPr>
              <w:t>445</w:t>
            </w:r>
          </w:p>
        </w:tc>
        <w:tc>
          <w:tcPr>
            <w:tcW w:w="1260" w:type="dxa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/>
                <w:sz w:val="22"/>
                <w:szCs w:val="22"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lang w:bidi="ar-IQ"/>
              </w:rPr>
              <w:t>21</w:t>
            </w:r>
          </w:p>
        </w:tc>
        <w:tc>
          <w:tcPr>
            <w:tcW w:w="900" w:type="dxa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/>
                <w:sz w:val="22"/>
                <w:szCs w:val="22"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lang w:bidi="ar-IQ"/>
              </w:rPr>
              <w:t>19</w:t>
            </w:r>
          </w:p>
        </w:tc>
        <w:tc>
          <w:tcPr>
            <w:tcW w:w="900" w:type="dxa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/>
                <w:sz w:val="22"/>
                <w:szCs w:val="22"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lang w:bidi="ar-IQ"/>
              </w:rPr>
              <w:t>28</w:t>
            </w:r>
          </w:p>
        </w:tc>
        <w:tc>
          <w:tcPr>
            <w:tcW w:w="900" w:type="dxa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/>
                <w:sz w:val="22"/>
                <w:szCs w:val="22"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lang w:bidi="ar-IQ"/>
              </w:rPr>
              <w:t>68</w:t>
            </w:r>
          </w:p>
        </w:tc>
        <w:tc>
          <w:tcPr>
            <w:tcW w:w="1080" w:type="dxa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/>
                <w:sz w:val="22"/>
                <w:szCs w:val="22"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lang w:bidi="ar-IQ"/>
              </w:rPr>
              <w:t>15.2</w:t>
            </w:r>
            <w:r w:rsidRPr="009E63C3">
              <w:rPr>
                <w:rFonts w:cs="Simplified Arabic" w:hint="cs"/>
                <w:sz w:val="22"/>
                <w:szCs w:val="22"/>
                <w:rtl/>
                <w:lang w:bidi="ar-IQ"/>
              </w:rPr>
              <w:t xml:space="preserve"> </w:t>
            </w:r>
            <w:proofErr w:type="spellStart"/>
            <w:r w:rsidRPr="009E63C3">
              <w:rPr>
                <w:rFonts w:cs="Simplified Arabic" w:hint="cs"/>
                <w:sz w:val="22"/>
                <w:szCs w:val="22"/>
                <w:rtl/>
                <w:lang w:bidi="ar-IQ"/>
              </w:rPr>
              <w:t>%</w:t>
            </w:r>
            <w:proofErr w:type="spellEnd"/>
          </w:p>
        </w:tc>
      </w:tr>
      <w:tr w:rsidR="000B43EB" w:rsidRPr="009E63C3" w:rsidTr="00C84C5B">
        <w:trPr>
          <w:jc w:val="center"/>
        </w:trPr>
        <w:tc>
          <w:tcPr>
            <w:tcW w:w="795" w:type="dxa"/>
            <w:vAlign w:val="center"/>
          </w:tcPr>
          <w:p w:rsidR="000B43EB" w:rsidRPr="009E63C3" w:rsidRDefault="000B43EB" w:rsidP="00C84C5B">
            <w:pPr>
              <w:jc w:val="lowKashida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r w:rsidRPr="009E63C3">
              <w:rPr>
                <w:rFonts w:cs="Simplified Arabic" w:hint="cs"/>
                <w:sz w:val="22"/>
                <w:szCs w:val="22"/>
                <w:rtl/>
                <w:lang w:bidi="ar-IQ"/>
              </w:rPr>
              <w:t>فلسطين</w:t>
            </w:r>
          </w:p>
        </w:tc>
        <w:tc>
          <w:tcPr>
            <w:tcW w:w="1080" w:type="dxa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lang w:bidi="ar-IQ"/>
              </w:rPr>
              <w:t>215</w:t>
            </w:r>
          </w:p>
        </w:tc>
        <w:tc>
          <w:tcPr>
            <w:tcW w:w="1260" w:type="dxa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lang w:bidi="ar-IQ"/>
              </w:rPr>
              <w:t>3</w:t>
            </w:r>
          </w:p>
        </w:tc>
        <w:tc>
          <w:tcPr>
            <w:tcW w:w="900" w:type="dxa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lang w:bidi="ar-IQ"/>
              </w:rPr>
              <w:t>1</w:t>
            </w:r>
          </w:p>
        </w:tc>
        <w:tc>
          <w:tcPr>
            <w:tcW w:w="900" w:type="dxa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lang w:bidi="ar-IQ"/>
              </w:rPr>
              <w:t>17</w:t>
            </w:r>
          </w:p>
        </w:tc>
        <w:tc>
          <w:tcPr>
            <w:tcW w:w="900" w:type="dxa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lang w:bidi="ar-IQ"/>
              </w:rPr>
              <w:t>21</w:t>
            </w:r>
          </w:p>
        </w:tc>
        <w:tc>
          <w:tcPr>
            <w:tcW w:w="1080" w:type="dxa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lang w:bidi="ar-IQ"/>
              </w:rPr>
              <w:t>9.2</w:t>
            </w:r>
            <w:r w:rsidRPr="009E63C3">
              <w:rPr>
                <w:rFonts w:cs="Simplified Arabic" w:hint="cs"/>
                <w:sz w:val="22"/>
                <w:szCs w:val="22"/>
                <w:rtl/>
                <w:lang w:bidi="ar-IQ"/>
              </w:rPr>
              <w:t xml:space="preserve"> </w:t>
            </w:r>
            <w:proofErr w:type="spellStart"/>
            <w:r w:rsidRPr="009E63C3">
              <w:rPr>
                <w:rFonts w:cs="Simplified Arabic" w:hint="cs"/>
                <w:sz w:val="22"/>
                <w:szCs w:val="22"/>
                <w:rtl/>
                <w:lang w:bidi="ar-IQ"/>
              </w:rPr>
              <w:t>%</w:t>
            </w:r>
            <w:proofErr w:type="spellEnd"/>
          </w:p>
        </w:tc>
      </w:tr>
      <w:tr w:rsidR="000B43EB" w:rsidRPr="009E63C3" w:rsidTr="00C84C5B">
        <w:trPr>
          <w:jc w:val="center"/>
        </w:trPr>
        <w:tc>
          <w:tcPr>
            <w:tcW w:w="795" w:type="dxa"/>
            <w:vAlign w:val="center"/>
          </w:tcPr>
          <w:p w:rsidR="000B43EB" w:rsidRPr="009E63C3" w:rsidRDefault="000B43EB" w:rsidP="00C84C5B">
            <w:pPr>
              <w:jc w:val="lowKashida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proofErr w:type="spellStart"/>
            <w:r w:rsidRPr="009E63C3">
              <w:rPr>
                <w:rFonts w:cs="Simplified Arabic" w:hint="cs"/>
                <w:sz w:val="22"/>
                <w:szCs w:val="22"/>
                <w:rtl/>
                <w:lang w:bidi="ar-IQ"/>
              </w:rPr>
              <w:t>شيراتون</w:t>
            </w:r>
            <w:proofErr w:type="spellEnd"/>
          </w:p>
        </w:tc>
        <w:tc>
          <w:tcPr>
            <w:tcW w:w="1080" w:type="dxa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lang w:bidi="ar-IQ"/>
              </w:rPr>
              <w:t>230</w:t>
            </w:r>
          </w:p>
        </w:tc>
        <w:tc>
          <w:tcPr>
            <w:tcW w:w="1260" w:type="dxa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proofErr w:type="spellStart"/>
            <w:r w:rsidRPr="009E63C3">
              <w:rPr>
                <w:rFonts w:cs="Simplified Arabic" w:hint="cs"/>
                <w:sz w:val="22"/>
                <w:szCs w:val="22"/>
                <w:rtl/>
                <w:lang w:bidi="ar-IQ"/>
              </w:rPr>
              <w:t>-</w:t>
            </w:r>
            <w:proofErr w:type="spellEnd"/>
          </w:p>
        </w:tc>
        <w:tc>
          <w:tcPr>
            <w:tcW w:w="900" w:type="dxa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lang w:bidi="ar-IQ"/>
              </w:rPr>
              <w:t>1</w:t>
            </w:r>
          </w:p>
        </w:tc>
        <w:tc>
          <w:tcPr>
            <w:tcW w:w="900" w:type="dxa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lang w:bidi="ar-IQ"/>
              </w:rPr>
              <w:t>24</w:t>
            </w:r>
          </w:p>
        </w:tc>
        <w:tc>
          <w:tcPr>
            <w:tcW w:w="900" w:type="dxa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lang w:bidi="ar-IQ"/>
              </w:rPr>
              <w:t>25</w:t>
            </w:r>
          </w:p>
        </w:tc>
        <w:tc>
          <w:tcPr>
            <w:tcW w:w="1080" w:type="dxa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lang w:bidi="ar-IQ"/>
              </w:rPr>
              <w:t>10.8</w:t>
            </w:r>
            <w:r w:rsidRPr="009E63C3">
              <w:rPr>
                <w:rFonts w:cs="Simplified Arabic" w:hint="cs"/>
                <w:sz w:val="22"/>
                <w:szCs w:val="22"/>
                <w:rtl/>
                <w:lang w:bidi="ar-IQ"/>
              </w:rPr>
              <w:t xml:space="preserve"> </w:t>
            </w:r>
            <w:proofErr w:type="spellStart"/>
            <w:r w:rsidRPr="009E63C3">
              <w:rPr>
                <w:rFonts w:cs="Simplified Arabic" w:hint="cs"/>
                <w:sz w:val="22"/>
                <w:szCs w:val="22"/>
                <w:rtl/>
                <w:lang w:bidi="ar-IQ"/>
              </w:rPr>
              <w:t>%</w:t>
            </w:r>
            <w:proofErr w:type="spellEnd"/>
          </w:p>
        </w:tc>
      </w:tr>
      <w:tr w:rsidR="000B43EB" w:rsidRPr="009E63C3" w:rsidTr="00C84C5B">
        <w:trPr>
          <w:jc w:val="center"/>
        </w:trPr>
        <w:tc>
          <w:tcPr>
            <w:tcW w:w="795" w:type="dxa"/>
            <w:vAlign w:val="center"/>
          </w:tcPr>
          <w:p w:rsidR="000B43EB" w:rsidRPr="009E63C3" w:rsidRDefault="000B43EB" w:rsidP="00C84C5B">
            <w:pPr>
              <w:jc w:val="lowKashida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r w:rsidRPr="009E63C3">
              <w:rPr>
                <w:rFonts w:cs="Simplified Arabic" w:hint="cs"/>
                <w:sz w:val="22"/>
                <w:szCs w:val="22"/>
                <w:rtl/>
                <w:lang w:bidi="ar-IQ"/>
              </w:rPr>
              <w:t>بابل</w:t>
            </w:r>
          </w:p>
        </w:tc>
        <w:tc>
          <w:tcPr>
            <w:tcW w:w="1080" w:type="dxa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lang w:bidi="ar-IQ"/>
              </w:rPr>
              <w:t>267</w:t>
            </w:r>
          </w:p>
        </w:tc>
        <w:tc>
          <w:tcPr>
            <w:tcW w:w="1260" w:type="dxa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lang w:bidi="ar-IQ"/>
              </w:rPr>
              <w:t>1</w:t>
            </w:r>
          </w:p>
        </w:tc>
        <w:tc>
          <w:tcPr>
            <w:tcW w:w="900" w:type="dxa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lang w:bidi="ar-IQ"/>
              </w:rPr>
              <w:t>1</w:t>
            </w:r>
          </w:p>
        </w:tc>
        <w:tc>
          <w:tcPr>
            <w:tcW w:w="900" w:type="dxa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lang w:bidi="ar-IQ"/>
              </w:rPr>
              <w:t>19</w:t>
            </w:r>
          </w:p>
        </w:tc>
        <w:tc>
          <w:tcPr>
            <w:tcW w:w="900" w:type="dxa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lang w:bidi="ar-IQ"/>
              </w:rPr>
              <w:t>21</w:t>
            </w:r>
          </w:p>
        </w:tc>
        <w:tc>
          <w:tcPr>
            <w:tcW w:w="1080" w:type="dxa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lang w:bidi="ar-IQ"/>
              </w:rPr>
              <w:t>7.8</w:t>
            </w:r>
            <w:r w:rsidRPr="009E63C3">
              <w:rPr>
                <w:rFonts w:cs="Simplified Arabic" w:hint="cs"/>
                <w:sz w:val="22"/>
                <w:szCs w:val="22"/>
                <w:rtl/>
                <w:lang w:bidi="ar-IQ"/>
              </w:rPr>
              <w:t xml:space="preserve"> </w:t>
            </w:r>
            <w:proofErr w:type="spellStart"/>
            <w:r w:rsidRPr="009E63C3">
              <w:rPr>
                <w:rFonts w:cs="Simplified Arabic" w:hint="cs"/>
                <w:sz w:val="22"/>
                <w:szCs w:val="22"/>
                <w:rtl/>
                <w:lang w:bidi="ar-IQ"/>
              </w:rPr>
              <w:t>%</w:t>
            </w:r>
            <w:proofErr w:type="spellEnd"/>
          </w:p>
        </w:tc>
      </w:tr>
      <w:tr w:rsidR="000B43EB" w:rsidRPr="009E63C3" w:rsidTr="00C84C5B">
        <w:trPr>
          <w:jc w:val="center"/>
        </w:trPr>
        <w:tc>
          <w:tcPr>
            <w:tcW w:w="795" w:type="dxa"/>
            <w:vAlign w:val="center"/>
          </w:tcPr>
          <w:p w:rsidR="000B43EB" w:rsidRPr="009E63C3" w:rsidRDefault="000B43EB" w:rsidP="00C84C5B">
            <w:pPr>
              <w:jc w:val="lowKashida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r w:rsidRPr="009E63C3">
              <w:rPr>
                <w:rFonts w:cs="Simplified Arabic" w:hint="cs"/>
                <w:sz w:val="22"/>
                <w:szCs w:val="22"/>
                <w:rtl/>
                <w:lang w:bidi="ar-IQ"/>
              </w:rPr>
              <w:t>بغداد</w:t>
            </w:r>
          </w:p>
        </w:tc>
        <w:tc>
          <w:tcPr>
            <w:tcW w:w="1080" w:type="dxa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lang w:bidi="ar-IQ"/>
              </w:rPr>
              <w:t>200</w:t>
            </w:r>
          </w:p>
        </w:tc>
        <w:tc>
          <w:tcPr>
            <w:tcW w:w="1260" w:type="dxa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lang w:bidi="ar-IQ"/>
              </w:rPr>
              <w:t>8</w:t>
            </w:r>
          </w:p>
        </w:tc>
        <w:tc>
          <w:tcPr>
            <w:tcW w:w="900" w:type="dxa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proofErr w:type="spellStart"/>
            <w:r w:rsidRPr="009E63C3">
              <w:rPr>
                <w:rFonts w:cs="Simplified Arabic" w:hint="cs"/>
                <w:sz w:val="22"/>
                <w:szCs w:val="22"/>
                <w:rtl/>
                <w:lang w:bidi="ar-IQ"/>
              </w:rPr>
              <w:t>-</w:t>
            </w:r>
            <w:proofErr w:type="spellEnd"/>
          </w:p>
        </w:tc>
        <w:tc>
          <w:tcPr>
            <w:tcW w:w="900" w:type="dxa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lang w:bidi="ar-IQ"/>
              </w:rPr>
              <w:t>8</w:t>
            </w:r>
          </w:p>
        </w:tc>
        <w:tc>
          <w:tcPr>
            <w:tcW w:w="900" w:type="dxa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lang w:bidi="ar-IQ"/>
              </w:rPr>
              <w:t>16</w:t>
            </w:r>
          </w:p>
        </w:tc>
        <w:tc>
          <w:tcPr>
            <w:tcW w:w="1080" w:type="dxa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lang w:bidi="ar-IQ"/>
              </w:rPr>
              <w:t>8</w:t>
            </w:r>
            <w:r w:rsidRPr="009E63C3">
              <w:rPr>
                <w:rFonts w:cs="Simplified Arabic" w:hint="cs"/>
                <w:sz w:val="22"/>
                <w:szCs w:val="22"/>
                <w:rtl/>
                <w:lang w:bidi="ar-IQ"/>
              </w:rPr>
              <w:t xml:space="preserve"> </w:t>
            </w:r>
            <w:proofErr w:type="spellStart"/>
            <w:r w:rsidRPr="009E63C3">
              <w:rPr>
                <w:rFonts w:cs="Simplified Arabic" w:hint="cs"/>
                <w:sz w:val="22"/>
                <w:szCs w:val="22"/>
                <w:rtl/>
                <w:lang w:bidi="ar-IQ"/>
              </w:rPr>
              <w:t>%</w:t>
            </w:r>
            <w:proofErr w:type="spellEnd"/>
          </w:p>
        </w:tc>
      </w:tr>
      <w:tr w:rsidR="000B43EB" w:rsidRPr="009E63C3" w:rsidTr="00C84C5B">
        <w:trPr>
          <w:jc w:val="center"/>
        </w:trPr>
        <w:tc>
          <w:tcPr>
            <w:tcW w:w="795" w:type="dxa"/>
            <w:vAlign w:val="center"/>
          </w:tcPr>
          <w:p w:rsidR="000B43EB" w:rsidRPr="009E63C3" w:rsidRDefault="000B43EB" w:rsidP="00C84C5B">
            <w:pPr>
              <w:jc w:val="lowKashida"/>
              <w:rPr>
                <w:rFonts w:cs="Simplified Arabic" w:hint="cs"/>
                <w:sz w:val="22"/>
                <w:szCs w:val="22"/>
                <w:u w:val="single"/>
                <w:rtl/>
                <w:lang w:bidi="ar-IQ"/>
              </w:rPr>
            </w:pPr>
            <w:proofErr w:type="spellStart"/>
            <w:r w:rsidRPr="009E63C3">
              <w:rPr>
                <w:rFonts w:cs="Simplified Arabic" w:hint="cs"/>
                <w:sz w:val="22"/>
                <w:szCs w:val="22"/>
                <w:u w:val="single"/>
                <w:rtl/>
                <w:lang w:bidi="ar-IQ"/>
              </w:rPr>
              <w:t>السدير</w:t>
            </w:r>
            <w:proofErr w:type="spellEnd"/>
          </w:p>
        </w:tc>
        <w:tc>
          <w:tcPr>
            <w:tcW w:w="1080" w:type="dxa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 w:hint="cs"/>
                <w:sz w:val="22"/>
                <w:szCs w:val="22"/>
                <w:u w:val="single"/>
                <w:rtl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u w:val="single"/>
                <w:lang w:bidi="ar-IQ"/>
              </w:rPr>
              <w:t>117</w:t>
            </w:r>
          </w:p>
        </w:tc>
        <w:tc>
          <w:tcPr>
            <w:tcW w:w="1260" w:type="dxa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 w:hint="cs"/>
                <w:sz w:val="22"/>
                <w:szCs w:val="22"/>
                <w:u w:val="single"/>
                <w:rtl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u w:val="single"/>
                <w:lang w:bidi="ar-IQ"/>
              </w:rPr>
              <w:t>2</w:t>
            </w:r>
          </w:p>
        </w:tc>
        <w:tc>
          <w:tcPr>
            <w:tcW w:w="900" w:type="dxa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 w:hint="cs"/>
                <w:sz w:val="22"/>
                <w:szCs w:val="22"/>
                <w:u w:val="single"/>
                <w:rtl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u w:val="single"/>
                <w:lang w:bidi="ar-IQ"/>
              </w:rPr>
              <w:t>6</w:t>
            </w:r>
          </w:p>
        </w:tc>
        <w:tc>
          <w:tcPr>
            <w:tcW w:w="900" w:type="dxa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 w:hint="cs"/>
                <w:sz w:val="22"/>
                <w:szCs w:val="22"/>
                <w:u w:val="single"/>
                <w:rtl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u w:val="single"/>
                <w:lang w:bidi="ar-IQ"/>
              </w:rPr>
              <w:t>4</w:t>
            </w:r>
          </w:p>
        </w:tc>
        <w:tc>
          <w:tcPr>
            <w:tcW w:w="900" w:type="dxa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 w:hint="cs"/>
                <w:sz w:val="22"/>
                <w:szCs w:val="22"/>
                <w:u w:val="single"/>
                <w:rtl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u w:val="single"/>
                <w:lang w:bidi="ar-IQ"/>
              </w:rPr>
              <w:t>12</w:t>
            </w:r>
          </w:p>
        </w:tc>
        <w:tc>
          <w:tcPr>
            <w:tcW w:w="1080" w:type="dxa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 w:hint="cs"/>
                <w:sz w:val="22"/>
                <w:szCs w:val="22"/>
                <w:u w:val="single"/>
                <w:rtl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u w:val="single"/>
                <w:lang w:bidi="ar-IQ"/>
              </w:rPr>
              <w:t>10.</w:t>
            </w:r>
            <w:r w:rsidRPr="009E63C3">
              <w:rPr>
                <w:rFonts w:cs="Simplified Arabic" w:hint="cs"/>
                <w:sz w:val="22"/>
                <w:szCs w:val="22"/>
                <w:u w:val="single"/>
                <w:rtl/>
                <w:lang w:bidi="ar-IQ"/>
              </w:rPr>
              <w:t xml:space="preserve"> </w:t>
            </w:r>
            <w:proofErr w:type="spellStart"/>
            <w:r w:rsidRPr="009E63C3">
              <w:rPr>
                <w:rFonts w:cs="Simplified Arabic" w:hint="cs"/>
                <w:sz w:val="22"/>
                <w:szCs w:val="22"/>
                <w:u w:val="single"/>
                <w:rtl/>
                <w:lang w:bidi="ar-IQ"/>
              </w:rPr>
              <w:t>%</w:t>
            </w:r>
            <w:proofErr w:type="spellEnd"/>
          </w:p>
        </w:tc>
      </w:tr>
      <w:tr w:rsidR="000B43EB" w:rsidRPr="009E63C3" w:rsidTr="00C84C5B">
        <w:trPr>
          <w:jc w:val="center"/>
        </w:trPr>
        <w:tc>
          <w:tcPr>
            <w:tcW w:w="795" w:type="dxa"/>
            <w:vAlign w:val="center"/>
          </w:tcPr>
          <w:p w:rsidR="000B43EB" w:rsidRPr="009E63C3" w:rsidRDefault="000B43EB" w:rsidP="00C84C5B">
            <w:pPr>
              <w:jc w:val="lowKashida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r w:rsidRPr="009E63C3">
              <w:rPr>
                <w:rFonts w:cs="Simplified Arabic" w:hint="cs"/>
                <w:sz w:val="22"/>
                <w:szCs w:val="22"/>
                <w:rtl/>
                <w:lang w:bidi="ar-IQ"/>
              </w:rPr>
              <w:t>المجموع</w:t>
            </w:r>
          </w:p>
        </w:tc>
        <w:tc>
          <w:tcPr>
            <w:tcW w:w="1080" w:type="dxa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lang w:bidi="ar-IQ"/>
              </w:rPr>
              <w:t>2272</w:t>
            </w:r>
          </w:p>
        </w:tc>
        <w:tc>
          <w:tcPr>
            <w:tcW w:w="1260" w:type="dxa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lang w:bidi="ar-IQ"/>
              </w:rPr>
              <w:t>36</w:t>
            </w:r>
          </w:p>
        </w:tc>
        <w:tc>
          <w:tcPr>
            <w:tcW w:w="900" w:type="dxa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lang w:bidi="ar-IQ"/>
              </w:rPr>
              <w:t>48</w:t>
            </w:r>
          </w:p>
        </w:tc>
        <w:tc>
          <w:tcPr>
            <w:tcW w:w="900" w:type="dxa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lang w:bidi="ar-IQ"/>
              </w:rPr>
              <w:t>165</w:t>
            </w:r>
          </w:p>
        </w:tc>
        <w:tc>
          <w:tcPr>
            <w:tcW w:w="900" w:type="dxa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lang w:bidi="ar-IQ"/>
              </w:rPr>
              <w:t>249</w:t>
            </w:r>
          </w:p>
        </w:tc>
        <w:tc>
          <w:tcPr>
            <w:tcW w:w="1080" w:type="dxa"/>
            <w:vAlign w:val="center"/>
          </w:tcPr>
          <w:p w:rsidR="000B43EB" w:rsidRPr="009E63C3" w:rsidRDefault="000B43EB" w:rsidP="00C84C5B">
            <w:pPr>
              <w:jc w:val="center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</w:p>
        </w:tc>
      </w:tr>
      <w:tr w:rsidR="000B43EB" w:rsidRPr="009E63C3" w:rsidTr="00C84C5B">
        <w:trPr>
          <w:jc w:val="center"/>
        </w:trPr>
        <w:tc>
          <w:tcPr>
            <w:tcW w:w="795" w:type="dxa"/>
            <w:vAlign w:val="center"/>
          </w:tcPr>
          <w:p w:rsidR="000B43EB" w:rsidRPr="009E63C3" w:rsidRDefault="000B43EB" w:rsidP="00C84C5B">
            <w:pPr>
              <w:tabs>
                <w:tab w:val="left" w:pos="2703"/>
                <w:tab w:val="left" w:pos="2976"/>
                <w:tab w:val="left" w:pos="4252"/>
                <w:tab w:val="left" w:pos="4457"/>
                <w:tab w:val="left" w:pos="5828"/>
                <w:tab w:val="left" w:pos="6032"/>
              </w:tabs>
              <w:jc w:val="center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r w:rsidRPr="009E63C3">
              <w:rPr>
                <w:rFonts w:cs="Simplified Arabic" w:hint="cs"/>
                <w:sz w:val="22"/>
                <w:szCs w:val="22"/>
                <w:rtl/>
                <w:lang w:bidi="ar-IQ"/>
              </w:rPr>
              <w:t>النسبة</w:t>
            </w:r>
          </w:p>
        </w:tc>
        <w:tc>
          <w:tcPr>
            <w:tcW w:w="1080" w:type="dxa"/>
            <w:vAlign w:val="center"/>
          </w:tcPr>
          <w:p w:rsidR="000B43EB" w:rsidRPr="009E63C3" w:rsidRDefault="000B43EB" w:rsidP="00C84C5B">
            <w:pPr>
              <w:tabs>
                <w:tab w:val="left" w:pos="2703"/>
                <w:tab w:val="left" w:pos="2976"/>
                <w:tab w:val="left" w:pos="4252"/>
                <w:tab w:val="left" w:pos="4457"/>
                <w:tab w:val="left" w:pos="5828"/>
                <w:tab w:val="left" w:pos="6032"/>
              </w:tabs>
              <w:jc w:val="center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</w:p>
        </w:tc>
        <w:tc>
          <w:tcPr>
            <w:tcW w:w="1260" w:type="dxa"/>
            <w:vAlign w:val="center"/>
          </w:tcPr>
          <w:p w:rsidR="000B43EB" w:rsidRPr="009E63C3" w:rsidRDefault="000B43EB" w:rsidP="00C84C5B">
            <w:pPr>
              <w:tabs>
                <w:tab w:val="left" w:pos="2703"/>
                <w:tab w:val="left" w:pos="2976"/>
                <w:tab w:val="left" w:pos="4252"/>
                <w:tab w:val="left" w:pos="4457"/>
                <w:tab w:val="left" w:pos="5828"/>
                <w:tab w:val="left" w:pos="6032"/>
              </w:tabs>
              <w:jc w:val="center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lang w:bidi="ar-IQ"/>
              </w:rPr>
              <w:t>1.5</w:t>
            </w:r>
            <w:r w:rsidRPr="009E63C3">
              <w:rPr>
                <w:rFonts w:cs="Simplified Arabic" w:hint="cs"/>
                <w:sz w:val="22"/>
                <w:szCs w:val="22"/>
                <w:rtl/>
                <w:lang w:bidi="ar-IQ"/>
              </w:rPr>
              <w:t xml:space="preserve"> </w:t>
            </w:r>
            <w:proofErr w:type="spellStart"/>
            <w:r w:rsidRPr="009E63C3">
              <w:rPr>
                <w:rFonts w:cs="Simplified Arabic" w:hint="cs"/>
                <w:sz w:val="22"/>
                <w:szCs w:val="22"/>
                <w:rtl/>
                <w:lang w:bidi="ar-IQ"/>
              </w:rPr>
              <w:t>%</w:t>
            </w:r>
            <w:proofErr w:type="spellEnd"/>
          </w:p>
        </w:tc>
        <w:tc>
          <w:tcPr>
            <w:tcW w:w="900" w:type="dxa"/>
            <w:vAlign w:val="center"/>
          </w:tcPr>
          <w:p w:rsidR="000B43EB" w:rsidRPr="009E63C3" w:rsidRDefault="000B43EB" w:rsidP="00C84C5B">
            <w:pPr>
              <w:tabs>
                <w:tab w:val="left" w:pos="2703"/>
                <w:tab w:val="left" w:pos="2976"/>
                <w:tab w:val="left" w:pos="4252"/>
                <w:tab w:val="left" w:pos="4457"/>
                <w:tab w:val="left" w:pos="5828"/>
                <w:tab w:val="left" w:pos="6032"/>
              </w:tabs>
              <w:jc w:val="center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lang w:bidi="ar-IQ"/>
              </w:rPr>
              <w:t>2.1</w:t>
            </w:r>
            <w:r w:rsidRPr="009E63C3">
              <w:rPr>
                <w:rFonts w:cs="Simplified Arabic" w:hint="cs"/>
                <w:sz w:val="22"/>
                <w:szCs w:val="22"/>
                <w:rtl/>
                <w:lang w:bidi="ar-IQ"/>
              </w:rPr>
              <w:t xml:space="preserve"> </w:t>
            </w:r>
            <w:proofErr w:type="spellStart"/>
            <w:r w:rsidRPr="009E63C3">
              <w:rPr>
                <w:rFonts w:cs="Simplified Arabic" w:hint="cs"/>
                <w:sz w:val="22"/>
                <w:szCs w:val="22"/>
                <w:rtl/>
                <w:lang w:bidi="ar-IQ"/>
              </w:rPr>
              <w:t>%</w:t>
            </w:r>
            <w:proofErr w:type="spellEnd"/>
          </w:p>
        </w:tc>
        <w:tc>
          <w:tcPr>
            <w:tcW w:w="900" w:type="dxa"/>
            <w:vAlign w:val="center"/>
          </w:tcPr>
          <w:p w:rsidR="000B43EB" w:rsidRPr="009E63C3" w:rsidRDefault="000B43EB" w:rsidP="00C84C5B">
            <w:pPr>
              <w:tabs>
                <w:tab w:val="left" w:pos="2703"/>
                <w:tab w:val="left" w:pos="2976"/>
                <w:tab w:val="left" w:pos="4252"/>
                <w:tab w:val="left" w:pos="4457"/>
                <w:tab w:val="left" w:pos="5828"/>
                <w:tab w:val="left" w:pos="6032"/>
              </w:tabs>
              <w:jc w:val="center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lang w:bidi="ar-IQ"/>
              </w:rPr>
              <w:t>7.2</w:t>
            </w:r>
            <w:r w:rsidRPr="009E63C3">
              <w:rPr>
                <w:rFonts w:cs="Simplified Arabic" w:hint="cs"/>
                <w:sz w:val="22"/>
                <w:szCs w:val="22"/>
                <w:rtl/>
                <w:lang w:bidi="ar-IQ"/>
              </w:rPr>
              <w:t xml:space="preserve"> </w:t>
            </w:r>
            <w:proofErr w:type="spellStart"/>
            <w:r w:rsidRPr="009E63C3">
              <w:rPr>
                <w:rFonts w:cs="Simplified Arabic" w:hint="cs"/>
                <w:sz w:val="22"/>
                <w:szCs w:val="22"/>
                <w:rtl/>
                <w:lang w:bidi="ar-IQ"/>
              </w:rPr>
              <w:t>%</w:t>
            </w:r>
            <w:proofErr w:type="spellEnd"/>
          </w:p>
        </w:tc>
        <w:tc>
          <w:tcPr>
            <w:tcW w:w="900" w:type="dxa"/>
            <w:vAlign w:val="center"/>
          </w:tcPr>
          <w:p w:rsidR="000B43EB" w:rsidRPr="009E63C3" w:rsidRDefault="000B43EB" w:rsidP="00C84C5B">
            <w:pPr>
              <w:tabs>
                <w:tab w:val="left" w:pos="2703"/>
                <w:tab w:val="left" w:pos="2976"/>
                <w:tab w:val="left" w:pos="4252"/>
                <w:tab w:val="left" w:pos="4457"/>
                <w:tab w:val="left" w:pos="5828"/>
                <w:tab w:val="left" w:pos="6032"/>
              </w:tabs>
              <w:jc w:val="center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  <w:r w:rsidRPr="009E63C3">
              <w:rPr>
                <w:rFonts w:cs="Simplified Arabic"/>
                <w:sz w:val="22"/>
                <w:szCs w:val="22"/>
                <w:lang w:bidi="ar-IQ"/>
              </w:rPr>
              <w:t>10.9</w:t>
            </w:r>
            <w:r w:rsidRPr="009E63C3">
              <w:rPr>
                <w:rFonts w:cs="Simplified Arabic" w:hint="cs"/>
                <w:sz w:val="22"/>
                <w:szCs w:val="22"/>
                <w:rtl/>
                <w:lang w:bidi="ar-IQ"/>
              </w:rPr>
              <w:t xml:space="preserve"> </w:t>
            </w:r>
            <w:proofErr w:type="spellStart"/>
            <w:r w:rsidRPr="009E63C3">
              <w:rPr>
                <w:rFonts w:cs="Simplified Arabic" w:hint="cs"/>
                <w:sz w:val="22"/>
                <w:szCs w:val="22"/>
                <w:rtl/>
                <w:lang w:bidi="ar-IQ"/>
              </w:rPr>
              <w:t>%</w:t>
            </w:r>
            <w:proofErr w:type="spellEnd"/>
          </w:p>
        </w:tc>
        <w:tc>
          <w:tcPr>
            <w:tcW w:w="1080" w:type="dxa"/>
            <w:vAlign w:val="center"/>
          </w:tcPr>
          <w:p w:rsidR="000B43EB" w:rsidRPr="009E63C3" w:rsidRDefault="000B43EB" w:rsidP="00C84C5B">
            <w:pPr>
              <w:tabs>
                <w:tab w:val="left" w:pos="2703"/>
                <w:tab w:val="left" w:pos="2976"/>
                <w:tab w:val="left" w:pos="4252"/>
                <w:tab w:val="left" w:pos="4457"/>
                <w:tab w:val="left" w:pos="5828"/>
                <w:tab w:val="left" w:pos="6032"/>
              </w:tabs>
              <w:jc w:val="center"/>
              <w:rPr>
                <w:rFonts w:cs="Simplified Arabic" w:hint="cs"/>
                <w:sz w:val="22"/>
                <w:szCs w:val="22"/>
                <w:rtl/>
                <w:lang w:bidi="ar-IQ"/>
              </w:rPr>
            </w:pPr>
          </w:p>
        </w:tc>
      </w:tr>
    </w:tbl>
    <w:p w:rsidR="000B43EB" w:rsidRPr="00E60E8F" w:rsidRDefault="000B43EB" w:rsidP="000B43EB">
      <w:pPr>
        <w:ind w:right="-1260"/>
        <w:rPr>
          <w:rFonts w:cs="Simplified Arabic"/>
          <w:sz w:val="20"/>
          <w:szCs w:val="20"/>
          <w:lang w:bidi="ar-IQ"/>
        </w:rPr>
      </w:pPr>
    </w:p>
    <w:p w:rsidR="000B43EB" w:rsidRDefault="000B43EB" w:rsidP="000B43EB">
      <w:pPr>
        <w:ind w:firstLine="790"/>
        <w:jc w:val="lowKashida"/>
        <w:rPr>
          <w:rFonts w:cs="Simplified Arabic" w:hint="cs"/>
          <w:sz w:val="28"/>
          <w:szCs w:val="28"/>
          <w:rtl/>
          <w:lang w:bidi="ar-IQ"/>
        </w:rPr>
      </w:pPr>
      <w:r w:rsidRPr="00E60E8F">
        <w:rPr>
          <w:rFonts w:cs="Simplified Arabic" w:hint="cs"/>
          <w:sz w:val="28"/>
          <w:szCs w:val="28"/>
          <w:rtl/>
          <w:lang w:bidi="ar-IQ"/>
        </w:rPr>
        <w:t xml:space="preserve">حيث يظهر الجدول  ان نسبة خريجي السياحة بمستوى البكالوريوس هي </w:t>
      </w:r>
      <w:r w:rsidRPr="00E60E8F">
        <w:rPr>
          <w:rFonts w:cs="Simplified Arabic"/>
          <w:sz w:val="28"/>
          <w:szCs w:val="28"/>
          <w:lang w:bidi="ar-IQ"/>
        </w:rPr>
        <w:t>1.5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%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من أعداد العاملين ودبلوم السياحة هي </w:t>
      </w:r>
      <w:r w:rsidRPr="00E60E8F">
        <w:rPr>
          <w:rFonts w:cs="Simplified Arabic"/>
          <w:sz w:val="28"/>
          <w:szCs w:val="28"/>
          <w:lang w:bidi="ar-IQ"/>
        </w:rPr>
        <w:t>2.1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%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  ومعاهد</w:t>
      </w:r>
      <w:r>
        <w:rPr>
          <w:rFonts w:cs="Simplified Arabic" w:hint="cs"/>
          <w:sz w:val="28"/>
          <w:szCs w:val="28"/>
          <w:rtl/>
          <w:lang w:bidi="ar-IQ"/>
        </w:rPr>
        <w:t xml:space="preserve"> 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الفندقة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</w:t>
      </w:r>
      <w:r w:rsidRPr="00E60E8F">
        <w:rPr>
          <w:rFonts w:cs="Simplified Arabic"/>
          <w:sz w:val="28"/>
          <w:szCs w:val="28"/>
          <w:lang w:bidi="ar-IQ"/>
        </w:rPr>
        <w:t xml:space="preserve">7.2  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 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%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 وبما يعني ان نسبة  </w:t>
      </w:r>
      <w:r w:rsidRPr="00E60E8F">
        <w:rPr>
          <w:rFonts w:cs="Simplified Arabic"/>
          <w:sz w:val="28"/>
          <w:szCs w:val="28"/>
          <w:lang w:bidi="ar-IQ"/>
        </w:rPr>
        <w:t>% 10.9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  من العاملين في هذه الفنادق لديهم تعليم سياحي. ولكون التوزيع النسبي للوظائف المخصصة لخريجي مؤسسات التعليم السياحي يتميز بالثبات النسبي في 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ملاكات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هذه الفنادق كلاً </w:t>
      </w:r>
      <w:r>
        <w:rPr>
          <w:rFonts w:cs="Simplified Arabic" w:hint="cs"/>
          <w:sz w:val="28"/>
          <w:szCs w:val="28"/>
          <w:rtl/>
          <w:lang w:bidi="ar-IQ"/>
        </w:rPr>
        <w:t>ب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حسب حجمه وأعداد العاملين فيه ثم اختيار ملاك الدرجات الوظيفية لفندق المنصور حيث كان يبدو </w:t>
      </w:r>
      <w:r>
        <w:rPr>
          <w:rFonts w:cs="Simplified Arabic" w:hint="cs"/>
          <w:sz w:val="28"/>
          <w:szCs w:val="28"/>
          <w:rtl/>
          <w:lang w:bidi="ar-IQ"/>
        </w:rPr>
        <w:t>أكثر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تنظيماً من غيره ولعدم امتلاك معظم الفنادق ملاك بالدرجات بصورة منتظمة كما ان فندق المنصور يمتلك وصفاً للوظائف الفندقية كافة الامر الذي 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لايتواجد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لباقي الفنادق ال</w:t>
      </w:r>
      <w:r>
        <w:rPr>
          <w:rFonts w:cs="Simplified Arabic" w:hint="cs"/>
          <w:sz w:val="28"/>
          <w:szCs w:val="28"/>
          <w:rtl/>
          <w:lang w:bidi="ar-IQ"/>
        </w:rPr>
        <w:t>أُخرى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في بغداد وعلى هذا الاساس قام الباحث بتبويب الوظائف الفندقية التي يتطلب 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شاغلوها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شهادة سياحية متخصصة كما في الجدول رقم 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(</w:t>
      </w:r>
      <w:proofErr w:type="spellEnd"/>
      <w:r w:rsidRPr="00E60E8F">
        <w:rPr>
          <w:rFonts w:cs="Simplified Arabic"/>
          <w:sz w:val="28"/>
          <w:szCs w:val="28"/>
          <w:lang w:bidi="ar-IQ"/>
        </w:rPr>
        <w:t>30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)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و</w:t>
      </w:r>
      <w:r>
        <w:rPr>
          <w:rFonts w:cs="Simplified Arabic" w:hint="cs"/>
          <w:sz w:val="28"/>
          <w:szCs w:val="28"/>
          <w:rtl/>
          <w:lang w:bidi="ar-IQ"/>
        </w:rPr>
        <w:t>ب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حسب الاحتياجات لها حيث كانت هنا </w:t>
      </w:r>
      <w:r w:rsidRPr="00E60E8F">
        <w:rPr>
          <w:rFonts w:cs="Simplified Arabic"/>
          <w:sz w:val="28"/>
          <w:szCs w:val="28"/>
          <w:lang w:bidi="ar-IQ"/>
        </w:rPr>
        <w:t>202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درجة </w:t>
      </w:r>
      <w:r>
        <w:rPr>
          <w:rFonts w:cs="Simplified Arabic" w:hint="cs"/>
          <w:sz w:val="28"/>
          <w:szCs w:val="28"/>
          <w:rtl/>
          <w:lang w:bidi="ar-IQ"/>
        </w:rPr>
        <w:t>تتوافر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لخريجي السياحة 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والفندقة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من اصل </w:t>
      </w:r>
      <w:r w:rsidRPr="00E60E8F">
        <w:rPr>
          <w:rFonts w:cs="Simplified Arabic"/>
          <w:sz w:val="28"/>
          <w:szCs w:val="28"/>
          <w:lang w:bidi="ar-IQ"/>
        </w:rPr>
        <w:t>440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درجة وظيفية تمثل </w:t>
      </w:r>
      <w:r w:rsidRPr="00E60E8F">
        <w:rPr>
          <w:rFonts w:cs="Simplified Arabic"/>
          <w:sz w:val="28"/>
          <w:szCs w:val="28"/>
          <w:lang w:bidi="ar-IQ"/>
        </w:rPr>
        <w:t>45,9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%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من درجات الملاك حيث كانت اغلب الاختصاصات المطلوبة والمرغوبة تمثل خريجي المدارس الفندقية وهذا شيء طبيعي. حيث كانت الاحتياجات </w:t>
      </w:r>
      <w:r>
        <w:rPr>
          <w:rFonts w:cs="Simplified Arabic" w:hint="cs"/>
          <w:sz w:val="28"/>
          <w:szCs w:val="28"/>
          <w:rtl/>
          <w:lang w:bidi="ar-IQ"/>
        </w:rPr>
        <w:t>على النحو الآتي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بالاستناد </w:t>
      </w:r>
      <w:r>
        <w:rPr>
          <w:rFonts w:cs="Simplified Arabic" w:hint="cs"/>
          <w:sz w:val="28"/>
          <w:szCs w:val="28"/>
          <w:rtl/>
          <w:lang w:bidi="ar-IQ"/>
        </w:rPr>
        <w:t>إلى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الجدول المذكور. </w:t>
      </w:r>
    </w:p>
    <w:p w:rsidR="00370315" w:rsidRDefault="00370315">
      <w:pPr>
        <w:rPr>
          <w:lang w:bidi="ar-IQ"/>
        </w:rPr>
      </w:pPr>
    </w:p>
    <w:sectPr w:rsidR="00370315" w:rsidSect="00F678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CS Taybah S_U normal."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0B43EB"/>
    <w:rsid w:val="000B43EB"/>
    <w:rsid w:val="001A5A55"/>
    <w:rsid w:val="00370315"/>
    <w:rsid w:val="004B7320"/>
    <w:rsid w:val="0074555B"/>
    <w:rsid w:val="00B22E20"/>
    <w:rsid w:val="00BB615B"/>
    <w:rsid w:val="00F6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3E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43EB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4</cp:revision>
  <dcterms:created xsi:type="dcterms:W3CDTF">2015-07-28T09:15:00Z</dcterms:created>
  <dcterms:modified xsi:type="dcterms:W3CDTF">2015-07-28T09:19:00Z</dcterms:modified>
</cp:coreProperties>
</file>