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734" w:type="pct"/>
        <w:tblCellSpacing w:w="0" w:type="dxa"/>
        <w:tblInd w:w="-645" w:type="dxa"/>
        <w:tblCellMar>
          <w:top w:w="75" w:type="dxa"/>
          <w:left w:w="75" w:type="dxa"/>
          <w:bottom w:w="75" w:type="dxa"/>
          <w:right w:w="75" w:type="dxa"/>
        </w:tblCellMar>
        <w:tblLook w:val="04A0"/>
      </w:tblPr>
      <w:tblGrid>
        <w:gridCol w:w="10080"/>
      </w:tblGrid>
      <w:tr w:rsidR="00742C0F" w:rsidRPr="00742C0F" w:rsidTr="005B4185">
        <w:trPr>
          <w:tblCellSpacing w:w="0" w:type="dxa"/>
        </w:trPr>
        <w:tc>
          <w:tcPr>
            <w:tcW w:w="5000" w:type="pct"/>
            <w:vAlign w:val="center"/>
            <w:hideMark/>
          </w:tcPr>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color w:val="FF0000"/>
                      <w:sz w:val="24"/>
                      <w:szCs w:val="24"/>
                    </w:rPr>
                  </w:pPr>
                  <w:bookmarkStart w:id="0" w:name="HC023142"/>
                  <w:bookmarkEnd w:id="0"/>
                  <w:r w:rsidRPr="00742C0F">
                    <w:rPr>
                      <w:rFonts w:ascii="Times New Roman" w:eastAsia="Times New Roman" w:hAnsi="Times New Roman" w:cs="Times New Roman"/>
                      <w:color w:val="FF0000"/>
                      <w:sz w:val="24"/>
                      <w:szCs w:val="24"/>
                    </w:rPr>
                    <w:t xml:space="preserve">ALCOHOLIC LIVER DISEASE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1" w:name="P023253"/>
                  <w:bookmarkEnd w:id="1"/>
                  <w:r w:rsidRPr="00742C0F">
                    <w:rPr>
                      <w:rFonts w:ascii="Times New Roman" w:eastAsia="Times New Roman" w:hAnsi="Times New Roman" w:cs="Times New Roman"/>
                      <w:sz w:val="24"/>
                      <w:szCs w:val="24"/>
                    </w:rPr>
                    <w:t xml:space="preserve">Alcohol remains one of the most common causes of chronic liver disease.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2" w:name="HC023145"/>
                  <w:bookmarkEnd w:id="2"/>
                  <w:r w:rsidRPr="00742C0F">
                    <w:rPr>
                      <w:rFonts w:ascii="Times New Roman" w:eastAsia="Times New Roman" w:hAnsi="Times New Roman" w:cs="Times New Roman"/>
                      <w:sz w:val="24"/>
                      <w:szCs w:val="24"/>
                      <w:highlight w:val="yellow"/>
                    </w:rPr>
                    <w:t>Epidemiology</w:t>
                  </w:r>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3" w:name="P023254"/>
                  <w:bookmarkEnd w:id="3"/>
                  <w:r w:rsidRPr="00742C0F">
                    <w:rPr>
                      <w:rFonts w:ascii="Times New Roman" w:eastAsia="Times New Roman" w:hAnsi="Times New Roman" w:cs="Times New Roman"/>
                      <w:sz w:val="24"/>
                      <w:szCs w:val="24"/>
                    </w:rPr>
                    <w:t xml:space="preserve">The risk of alcoholic liver disease is variable and not everyone who drinks heavily will develop liver disease. Only 10% of alcoholics have evidence of cirrhosis at post-mortem. Alcoholic liver disease does not occur below a threshold of 21 units/week in women and 28 units/week in men </w:t>
                  </w:r>
                  <w:r>
                    <w:rPr>
                      <w:rFonts w:ascii="Times New Roman" w:eastAsia="Times New Roman" w:hAnsi="Times New Roman" w:cs="Times New Roman"/>
                      <w:sz w:val="24"/>
                      <w:szCs w:val="24"/>
                    </w:rPr>
                    <w:t>(unit =8g).</w:t>
                  </w:r>
                  <w:r w:rsidRPr="00742C0F">
                    <w:rPr>
                      <w:rFonts w:ascii="Times New Roman" w:eastAsia="Times New Roman" w:hAnsi="Times New Roman" w:cs="Times New Roman"/>
                      <w:sz w:val="24"/>
                      <w:szCs w:val="24"/>
                    </w:rPr>
                    <w:t xml:space="preserve">Most individuals with liver disease will have drunk heavily for more than 5 years.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4" w:name="P023255"/>
                  <w:bookmarkEnd w:id="4"/>
                  <w:r w:rsidRPr="00742C0F">
                    <w:rPr>
                      <w:rFonts w:ascii="Times New Roman" w:eastAsia="Times New Roman" w:hAnsi="Times New Roman" w:cs="Times New Roman"/>
                      <w:sz w:val="24"/>
                      <w:szCs w:val="24"/>
                    </w:rPr>
                    <w:t xml:space="preserve">Although the average alcohol consumption of an individual with cirrhosis is 160 g/day for an average of 8 years, there is no clear linear relationship between dose and liver damage.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p w:rsidR="00742C0F" w:rsidRPr="00742C0F" w:rsidRDefault="00742C0F" w:rsidP="00742C0F">
            <w:pPr>
              <w:spacing w:after="0" w:line="240" w:lineRule="auto"/>
              <w:rPr>
                <w:rFonts w:ascii="Times New Roman" w:eastAsia="Times New Roman" w:hAnsi="Times New Roman" w:cs="Times New Roman"/>
                <w:vanish/>
                <w:sz w:val="24"/>
                <w:szCs w:val="24"/>
              </w:rPr>
            </w:pPr>
            <w:bookmarkStart w:id="5" w:name="B023045"/>
            <w:bookmarkEnd w:id="5"/>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6" w:name="P023256"/>
                  <w:bookmarkEnd w:id="6"/>
                  <w:r w:rsidRPr="00742C0F">
                    <w:rPr>
                      <w:rFonts w:ascii="Times New Roman" w:eastAsia="Times New Roman" w:hAnsi="Times New Roman" w:cs="Times New Roman"/>
                      <w:sz w:val="24"/>
                      <w:szCs w:val="24"/>
                    </w:rPr>
                    <w:t xml:space="preserve">Some of the </w:t>
                  </w:r>
                  <w:r w:rsidRPr="00742C0F">
                    <w:rPr>
                      <w:rFonts w:ascii="Times New Roman" w:eastAsia="Times New Roman" w:hAnsi="Times New Roman" w:cs="Times New Roman"/>
                      <w:color w:val="00B050"/>
                      <w:sz w:val="24"/>
                      <w:szCs w:val="24"/>
                    </w:rPr>
                    <w:t>risk factors</w:t>
                  </w:r>
                  <w:r w:rsidRPr="00742C0F">
                    <w:rPr>
                      <w:rFonts w:ascii="Times New Roman" w:eastAsia="Times New Roman" w:hAnsi="Times New Roman" w:cs="Times New Roman"/>
                      <w:sz w:val="24"/>
                      <w:szCs w:val="24"/>
                    </w:rPr>
                    <w:t xml:space="preserve"> for alcoholic liver disease are: </w:t>
                  </w:r>
                </w:p>
                <w:p w:rsidR="00742C0F" w:rsidRPr="00742C0F" w:rsidRDefault="00742C0F" w:rsidP="00742C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i/>
                      <w:iCs/>
                      <w:sz w:val="24"/>
                      <w:szCs w:val="24"/>
                    </w:rPr>
                    <w:t>Drinking patterns</w:t>
                  </w:r>
                  <w:r w:rsidRPr="00742C0F">
                    <w:rPr>
                      <w:rFonts w:ascii="Times New Roman" w:eastAsia="Times New Roman" w:hAnsi="Times New Roman" w:cs="Times New Roman"/>
                      <w:sz w:val="24"/>
                      <w:szCs w:val="24"/>
                    </w:rPr>
                    <w:t xml:space="preserve">. Type of beverage drunk does not affect risk, but liver damage is more likely to occur in continuous rather than binge drinkers. </w:t>
                  </w:r>
                </w:p>
                <w:p w:rsidR="00742C0F" w:rsidRPr="00742C0F" w:rsidRDefault="00742C0F" w:rsidP="00742C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i/>
                      <w:iCs/>
                      <w:sz w:val="24"/>
                      <w:szCs w:val="24"/>
                    </w:rPr>
                    <w:t>Gender.</w:t>
                  </w:r>
                  <w:r w:rsidRPr="00742C0F">
                    <w:rPr>
                      <w:rFonts w:ascii="Times New Roman" w:eastAsia="Times New Roman" w:hAnsi="Times New Roman" w:cs="Times New Roman"/>
                      <w:sz w:val="24"/>
                      <w:szCs w:val="24"/>
                    </w:rPr>
                    <w:t xml:space="preserve"> The incidence of alcoholic liver disease is increasing in women, who often conceal alcohol misuse and have higher blood ethanol levels than men after drinking because their body mass is lower. </w:t>
                  </w:r>
                </w:p>
                <w:p w:rsidR="00742C0F" w:rsidRPr="00742C0F" w:rsidRDefault="00742C0F" w:rsidP="00742C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i/>
                      <w:iCs/>
                      <w:sz w:val="24"/>
                      <w:szCs w:val="24"/>
                    </w:rPr>
                    <w:t>Genetics</w:t>
                  </w:r>
                  <w:r w:rsidRPr="00742C0F">
                    <w:rPr>
                      <w:rFonts w:ascii="Times New Roman" w:eastAsia="Times New Roman" w:hAnsi="Times New Roman" w:cs="Times New Roman"/>
                      <w:sz w:val="24"/>
                      <w:szCs w:val="24"/>
                    </w:rPr>
                    <w:t xml:space="preserve">. Alcoholism is more common in monozygotic than </w:t>
                  </w:r>
                  <w:proofErr w:type="spellStart"/>
                  <w:r w:rsidRPr="00742C0F">
                    <w:rPr>
                      <w:rFonts w:ascii="Times New Roman" w:eastAsia="Times New Roman" w:hAnsi="Times New Roman" w:cs="Times New Roman"/>
                      <w:sz w:val="24"/>
                      <w:szCs w:val="24"/>
                    </w:rPr>
                    <w:t>dizygotic</w:t>
                  </w:r>
                  <w:proofErr w:type="spellEnd"/>
                  <w:r w:rsidRPr="00742C0F">
                    <w:rPr>
                      <w:rFonts w:ascii="Times New Roman" w:eastAsia="Times New Roman" w:hAnsi="Times New Roman" w:cs="Times New Roman"/>
                      <w:sz w:val="24"/>
                      <w:szCs w:val="24"/>
                    </w:rPr>
                    <w:t xml:space="preserve"> twins. However, polymorphisms in the gene-coding enzymes involved in alcohol metabolism, </w:t>
                  </w:r>
                  <w:proofErr w:type="spellStart"/>
                  <w:r w:rsidRPr="00742C0F">
                    <w:rPr>
                      <w:rFonts w:ascii="Times New Roman" w:eastAsia="Times New Roman" w:hAnsi="Times New Roman" w:cs="Times New Roman"/>
                      <w:sz w:val="24"/>
                      <w:szCs w:val="24"/>
                    </w:rPr>
                    <w:t>tumour</w:t>
                  </w:r>
                  <w:proofErr w:type="spellEnd"/>
                  <w:r w:rsidRPr="00742C0F">
                    <w:rPr>
                      <w:rFonts w:ascii="Times New Roman" w:eastAsia="Times New Roman" w:hAnsi="Times New Roman" w:cs="Times New Roman"/>
                      <w:sz w:val="24"/>
                      <w:szCs w:val="24"/>
                    </w:rPr>
                    <w:t xml:space="preserve"> necrosis factor-alpha (TNF-α) and </w:t>
                  </w:r>
                  <w:proofErr w:type="spellStart"/>
                  <w:r w:rsidRPr="00742C0F">
                    <w:rPr>
                      <w:rFonts w:ascii="Times New Roman" w:eastAsia="Times New Roman" w:hAnsi="Times New Roman" w:cs="Times New Roman"/>
                      <w:sz w:val="24"/>
                      <w:szCs w:val="24"/>
                    </w:rPr>
                    <w:t>aldehyde</w:t>
                  </w:r>
                  <w:proofErr w:type="spellEnd"/>
                  <w:r w:rsidRPr="00742C0F">
                    <w:rPr>
                      <w:rFonts w:ascii="Times New Roman" w:eastAsia="Times New Roman" w:hAnsi="Times New Roman" w:cs="Times New Roman"/>
                      <w:sz w:val="24"/>
                      <w:szCs w:val="24"/>
                    </w:rPr>
                    <w:t xml:space="preserve"> </w:t>
                  </w:r>
                  <w:proofErr w:type="spellStart"/>
                  <w:r w:rsidRPr="00742C0F">
                    <w:rPr>
                      <w:rFonts w:ascii="Times New Roman" w:eastAsia="Times New Roman" w:hAnsi="Times New Roman" w:cs="Times New Roman"/>
                      <w:sz w:val="24"/>
                      <w:szCs w:val="24"/>
                    </w:rPr>
                    <w:t>dehydrogenase</w:t>
                  </w:r>
                  <w:proofErr w:type="spellEnd"/>
                  <w:r w:rsidRPr="00742C0F">
                    <w:rPr>
                      <w:rFonts w:ascii="Times New Roman" w:eastAsia="Times New Roman" w:hAnsi="Times New Roman" w:cs="Times New Roman"/>
                      <w:sz w:val="24"/>
                      <w:szCs w:val="24"/>
                    </w:rPr>
                    <w:t xml:space="preserve"> (ALD), have yet to be linked to alcoholic liver disease. </w:t>
                  </w:r>
                </w:p>
                <w:p w:rsidR="00742C0F" w:rsidRPr="00742C0F" w:rsidRDefault="00742C0F" w:rsidP="00742C0F">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i/>
                      <w:iCs/>
                      <w:sz w:val="24"/>
                      <w:szCs w:val="24"/>
                    </w:rPr>
                    <w:t>Nutrition</w:t>
                  </w:r>
                  <w:r w:rsidRPr="00742C0F">
                    <w:rPr>
                      <w:rFonts w:ascii="Times New Roman" w:eastAsia="Times New Roman" w:hAnsi="Times New Roman" w:cs="Times New Roman"/>
                      <w:sz w:val="24"/>
                      <w:szCs w:val="24"/>
                    </w:rPr>
                    <w:t xml:space="preserve">. Animals given a </w:t>
                  </w:r>
                  <w:proofErr w:type="spellStart"/>
                  <w:r w:rsidRPr="00742C0F">
                    <w:rPr>
                      <w:rFonts w:ascii="Times New Roman" w:eastAsia="Times New Roman" w:hAnsi="Times New Roman" w:cs="Times New Roman"/>
                      <w:sz w:val="24"/>
                      <w:szCs w:val="24"/>
                    </w:rPr>
                    <w:t>choline</w:t>
                  </w:r>
                  <w:proofErr w:type="spellEnd"/>
                  <w:r w:rsidRPr="00742C0F">
                    <w:rPr>
                      <w:rFonts w:ascii="Times New Roman" w:eastAsia="Times New Roman" w:hAnsi="Times New Roman" w:cs="Times New Roman"/>
                      <w:sz w:val="24"/>
                      <w:szCs w:val="24"/>
                    </w:rPr>
                    <w:t xml:space="preserve">-deficient diet are more likely to develop alcoholic liver disease.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7" w:name="HC023146"/>
                  <w:bookmarkEnd w:id="7"/>
                  <w:proofErr w:type="spellStart"/>
                  <w:r w:rsidRPr="00742C0F">
                    <w:rPr>
                      <w:rFonts w:ascii="Times New Roman" w:eastAsia="Times New Roman" w:hAnsi="Times New Roman" w:cs="Times New Roman"/>
                      <w:sz w:val="24"/>
                      <w:szCs w:val="24"/>
                      <w:highlight w:val="yellow"/>
                    </w:rPr>
                    <w:t>Aetiology</w:t>
                  </w:r>
                  <w:proofErr w:type="spellEnd"/>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8" w:name="P023257"/>
                  <w:bookmarkEnd w:id="8"/>
                  <w:r w:rsidRPr="00742C0F">
                    <w:rPr>
                      <w:rFonts w:ascii="Times New Roman" w:eastAsia="Times New Roman" w:hAnsi="Times New Roman" w:cs="Times New Roman"/>
                      <w:sz w:val="24"/>
                      <w:szCs w:val="24"/>
                    </w:rPr>
                    <w:t xml:space="preserve">Alcohol is </w:t>
                  </w:r>
                  <w:proofErr w:type="spellStart"/>
                  <w:r w:rsidRPr="00742C0F">
                    <w:rPr>
                      <w:rFonts w:ascii="Times New Roman" w:eastAsia="Times New Roman" w:hAnsi="Times New Roman" w:cs="Times New Roman"/>
                      <w:sz w:val="24"/>
                      <w:szCs w:val="24"/>
                    </w:rPr>
                    <w:t>metabolised</w:t>
                  </w:r>
                  <w:proofErr w:type="spellEnd"/>
                  <w:r w:rsidRPr="00742C0F">
                    <w:rPr>
                      <w:rFonts w:ascii="Times New Roman" w:eastAsia="Times New Roman" w:hAnsi="Times New Roman" w:cs="Times New Roman"/>
                      <w:sz w:val="24"/>
                      <w:szCs w:val="24"/>
                    </w:rPr>
                    <w:t xml:space="preserve"> almost exclusively by the liver.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p w:rsidR="00742C0F" w:rsidRPr="00742C0F" w:rsidRDefault="00742C0F" w:rsidP="00742C0F">
            <w:pPr>
              <w:spacing w:after="0" w:line="240" w:lineRule="auto"/>
              <w:rPr>
                <w:rFonts w:ascii="Times New Roman" w:eastAsia="Times New Roman" w:hAnsi="Times New Roman" w:cs="Times New Roman"/>
                <w:vanish/>
                <w:sz w:val="24"/>
                <w:szCs w:val="24"/>
              </w:rPr>
            </w:pPr>
            <w:bookmarkStart w:id="9" w:name="F023029"/>
            <w:bookmarkEnd w:id="9"/>
          </w:p>
          <w:p w:rsidR="00742C0F" w:rsidRPr="00742C0F" w:rsidRDefault="00742C0F" w:rsidP="00742C0F">
            <w:pPr>
              <w:spacing w:after="0" w:line="240" w:lineRule="auto"/>
              <w:rPr>
                <w:rFonts w:ascii="Times New Roman" w:eastAsia="Times New Roman" w:hAnsi="Times New Roman" w:cs="Times New Roman"/>
                <w:vanish/>
                <w:sz w:val="24"/>
                <w:szCs w:val="24"/>
              </w:rPr>
            </w:pPr>
            <w:bookmarkStart w:id="10" w:name="B023046"/>
            <w:bookmarkEnd w:id="10"/>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vAlign w:val="center"/>
                  <w:hideMark/>
                </w:tcPr>
                <w:p w:rsidR="00742C0F" w:rsidRPr="00742C0F" w:rsidRDefault="008E451C" w:rsidP="00742C0F">
                  <w:pPr>
                    <w:spacing w:after="0" w:line="240" w:lineRule="auto"/>
                    <w:rPr>
                      <w:rFonts w:ascii="Times New Roman" w:eastAsia="Times New Roman" w:hAnsi="Times New Roman" w:cs="Times New Roman"/>
                      <w:sz w:val="24"/>
                      <w:szCs w:val="24"/>
                    </w:rPr>
                  </w:pPr>
                  <w:r w:rsidRPr="008E451C">
                    <w:rPr>
                      <w:rFonts w:ascii="Times New Roman" w:eastAsia="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pt;height:7.8pt"/>
                    </w:pic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b/>
                      <w:bCs/>
                      <w:color w:val="00B050"/>
                      <w:sz w:val="24"/>
                      <w:szCs w:val="24"/>
                    </w:rPr>
                  </w:pPr>
                  <w:bookmarkStart w:id="11" w:name="HC023147"/>
                  <w:bookmarkEnd w:id="11"/>
                  <w:r w:rsidRPr="00742C0F">
                    <w:rPr>
                      <w:rFonts w:ascii="Times New Roman" w:eastAsia="Times New Roman" w:hAnsi="Times New Roman" w:cs="Times New Roman"/>
                      <w:b/>
                      <w:bCs/>
                      <w:color w:val="00B050"/>
                      <w:sz w:val="24"/>
                      <w:szCs w:val="24"/>
                    </w:rPr>
                    <w:t xml:space="preserve">Acetaldehyde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12" w:name="P023259"/>
                  <w:bookmarkEnd w:id="12"/>
                  <w:r w:rsidRPr="00742C0F">
                    <w:rPr>
                      <w:rFonts w:ascii="Times New Roman" w:eastAsia="Times New Roman" w:hAnsi="Times New Roman" w:cs="Times New Roman"/>
                      <w:sz w:val="24"/>
                      <w:szCs w:val="24"/>
                    </w:rPr>
                    <w:t xml:space="preserve">Eighty per cent of alcohol is </w:t>
                  </w:r>
                  <w:proofErr w:type="spellStart"/>
                  <w:r w:rsidRPr="00742C0F">
                    <w:rPr>
                      <w:rFonts w:ascii="Times New Roman" w:eastAsia="Times New Roman" w:hAnsi="Times New Roman" w:cs="Times New Roman"/>
                      <w:sz w:val="24"/>
                      <w:szCs w:val="24"/>
                    </w:rPr>
                    <w:t>metabolised</w:t>
                  </w:r>
                  <w:proofErr w:type="spellEnd"/>
                  <w:r w:rsidRPr="00742C0F">
                    <w:rPr>
                      <w:rFonts w:ascii="Times New Roman" w:eastAsia="Times New Roman" w:hAnsi="Times New Roman" w:cs="Times New Roman"/>
                      <w:sz w:val="24"/>
                      <w:szCs w:val="24"/>
                    </w:rPr>
                    <w:t xml:space="preserve"> to acetaldehyde by the mitochondrial enzyme, alcohol </w:t>
                  </w:r>
                  <w:proofErr w:type="spellStart"/>
                  <w:r w:rsidRPr="00742C0F">
                    <w:rPr>
                      <w:rFonts w:ascii="Times New Roman" w:eastAsia="Times New Roman" w:hAnsi="Times New Roman" w:cs="Times New Roman"/>
                      <w:sz w:val="24"/>
                      <w:szCs w:val="24"/>
                    </w:rPr>
                    <w:t>dehydrogenase</w:t>
                  </w:r>
                  <w:proofErr w:type="spellEnd"/>
                  <w:r w:rsidRPr="00742C0F">
                    <w:rPr>
                      <w:rFonts w:ascii="Times New Roman" w:eastAsia="Times New Roman" w:hAnsi="Times New Roman" w:cs="Times New Roman"/>
                      <w:sz w:val="24"/>
                      <w:szCs w:val="24"/>
                    </w:rPr>
                    <w:t xml:space="preserve"> (ADH). Acetaldehyde forms </w:t>
                  </w:r>
                  <w:r w:rsidRPr="007A458A">
                    <w:rPr>
                      <w:rStyle w:val="Heading2Char"/>
                      <w:b w:val="0"/>
                      <w:bCs w:val="0"/>
                      <w:color w:val="auto"/>
                      <w:sz w:val="24"/>
                      <w:szCs w:val="24"/>
                    </w:rPr>
                    <w:t>adducts</w:t>
                  </w:r>
                  <w:r w:rsidRPr="00742C0F">
                    <w:rPr>
                      <w:rFonts w:ascii="Times New Roman" w:eastAsia="Times New Roman" w:hAnsi="Times New Roman" w:cs="Times New Roman"/>
                      <w:sz w:val="24"/>
                      <w:szCs w:val="24"/>
                    </w:rPr>
                    <w:t xml:space="preserve"> with cellular proteins in </w:t>
                  </w:r>
                  <w:proofErr w:type="spellStart"/>
                  <w:r w:rsidRPr="00742C0F">
                    <w:rPr>
                      <w:rFonts w:ascii="Times New Roman" w:eastAsia="Times New Roman" w:hAnsi="Times New Roman" w:cs="Times New Roman"/>
                      <w:sz w:val="24"/>
                      <w:szCs w:val="24"/>
                    </w:rPr>
                    <w:t>hepatocytes</w:t>
                  </w:r>
                  <w:proofErr w:type="spellEnd"/>
                  <w:r w:rsidRPr="00742C0F">
                    <w:rPr>
                      <w:rFonts w:ascii="Times New Roman" w:eastAsia="Times New Roman" w:hAnsi="Times New Roman" w:cs="Times New Roman"/>
                      <w:sz w:val="24"/>
                      <w:szCs w:val="24"/>
                    </w:rPr>
                    <w:t xml:space="preserve"> which </w:t>
                  </w:r>
                  <w:r w:rsidRPr="00742C0F">
                    <w:rPr>
                      <w:rFonts w:ascii="Times New Roman" w:eastAsia="Times New Roman" w:hAnsi="Times New Roman" w:cs="Times New Roman"/>
                      <w:color w:val="00B050"/>
                      <w:sz w:val="24"/>
                      <w:szCs w:val="24"/>
                    </w:rPr>
                    <w:t>activate the immune system, leading to cell injury</w:t>
                  </w:r>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13" w:name="P023260"/>
                  <w:bookmarkEnd w:id="13"/>
                  <w:r w:rsidRPr="00742C0F">
                    <w:rPr>
                      <w:rFonts w:ascii="Times New Roman" w:eastAsia="Times New Roman" w:hAnsi="Times New Roman" w:cs="Times New Roman"/>
                      <w:sz w:val="24"/>
                      <w:szCs w:val="24"/>
                    </w:rPr>
                    <w:t xml:space="preserve">Acetaldehyde is then </w:t>
                  </w:r>
                  <w:proofErr w:type="spellStart"/>
                  <w:r w:rsidRPr="00742C0F">
                    <w:rPr>
                      <w:rFonts w:ascii="Times New Roman" w:eastAsia="Times New Roman" w:hAnsi="Times New Roman" w:cs="Times New Roman"/>
                      <w:sz w:val="24"/>
                      <w:szCs w:val="24"/>
                    </w:rPr>
                    <w:t>metabolised</w:t>
                  </w:r>
                  <w:proofErr w:type="spellEnd"/>
                  <w:r w:rsidRPr="00742C0F">
                    <w:rPr>
                      <w:rFonts w:ascii="Times New Roman" w:eastAsia="Times New Roman" w:hAnsi="Times New Roman" w:cs="Times New Roman"/>
                      <w:sz w:val="24"/>
                      <w:szCs w:val="24"/>
                    </w:rPr>
                    <w:t xml:space="preserve"> to acetyl </w:t>
                  </w:r>
                  <w:proofErr w:type="spellStart"/>
                  <w:r w:rsidRPr="00742C0F">
                    <w:rPr>
                      <w:rFonts w:ascii="Times New Roman" w:eastAsia="Times New Roman" w:hAnsi="Times New Roman" w:cs="Times New Roman"/>
                      <w:sz w:val="24"/>
                      <w:szCs w:val="24"/>
                    </w:rPr>
                    <w:t>coA</w:t>
                  </w:r>
                  <w:proofErr w:type="spellEnd"/>
                  <w:r w:rsidRPr="00742C0F">
                    <w:rPr>
                      <w:rFonts w:ascii="Times New Roman" w:eastAsia="Times New Roman" w:hAnsi="Times New Roman" w:cs="Times New Roman"/>
                      <w:sz w:val="24"/>
                      <w:szCs w:val="24"/>
                    </w:rPr>
                    <w:t xml:space="preserve"> and acetate by ALD. This generates NADH from NAD (</w:t>
                  </w:r>
                  <w:proofErr w:type="spellStart"/>
                  <w:r w:rsidRPr="00742C0F">
                    <w:rPr>
                      <w:rFonts w:ascii="Times New Roman" w:eastAsia="Times New Roman" w:hAnsi="Times New Roman" w:cs="Times New Roman"/>
                      <w:sz w:val="24"/>
                      <w:szCs w:val="24"/>
                    </w:rPr>
                    <w:t>nicotinamide</w:t>
                  </w:r>
                  <w:proofErr w:type="spellEnd"/>
                  <w:r w:rsidRPr="00742C0F">
                    <w:rPr>
                      <w:rFonts w:ascii="Times New Roman" w:eastAsia="Times New Roman" w:hAnsi="Times New Roman" w:cs="Times New Roman"/>
                      <w:sz w:val="24"/>
                      <w:szCs w:val="24"/>
                    </w:rPr>
                    <w:t xml:space="preserve"> adenine </w:t>
                  </w:r>
                  <w:proofErr w:type="spellStart"/>
                  <w:r w:rsidRPr="00742C0F">
                    <w:rPr>
                      <w:rFonts w:ascii="Times New Roman" w:eastAsia="Times New Roman" w:hAnsi="Times New Roman" w:cs="Times New Roman"/>
                      <w:sz w:val="24"/>
                      <w:szCs w:val="24"/>
                    </w:rPr>
                    <w:t>dinucleotide</w:t>
                  </w:r>
                  <w:proofErr w:type="spellEnd"/>
                  <w:r w:rsidRPr="00742C0F">
                    <w:rPr>
                      <w:rFonts w:ascii="Times New Roman" w:eastAsia="Times New Roman" w:hAnsi="Times New Roman" w:cs="Times New Roman"/>
                      <w:sz w:val="24"/>
                      <w:szCs w:val="24"/>
                    </w:rPr>
                    <w:t xml:space="preserve">) which </w:t>
                  </w:r>
                  <w:r w:rsidRPr="00742C0F">
                    <w:rPr>
                      <w:rFonts w:ascii="Times New Roman" w:eastAsia="Times New Roman" w:hAnsi="Times New Roman" w:cs="Times New Roman"/>
                      <w:color w:val="00B050"/>
                      <w:sz w:val="24"/>
                      <w:szCs w:val="24"/>
                    </w:rPr>
                    <w:t xml:space="preserve">changes the </w:t>
                  </w:r>
                  <w:proofErr w:type="spellStart"/>
                  <w:r w:rsidRPr="00742C0F">
                    <w:rPr>
                      <w:rFonts w:ascii="Times New Roman" w:eastAsia="Times New Roman" w:hAnsi="Times New Roman" w:cs="Times New Roman"/>
                      <w:color w:val="00B050"/>
                      <w:sz w:val="24"/>
                      <w:szCs w:val="24"/>
                    </w:rPr>
                    <w:t>redox</w:t>
                  </w:r>
                  <w:proofErr w:type="spellEnd"/>
                  <w:r w:rsidRPr="00742C0F">
                    <w:rPr>
                      <w:rFonts w:ascii="Times New Roman" w:eastAsia="Times New Roman" w:hAnsi="Times New Roman" w:cs="Times New Roman"/>
                      <w:color w:val="00B050"/>
                      <w:sz w:val="24"/>
                      <w:szCs w:val="24"/>
                    </w:rPr>
                    <w:t xml:space="preserve"> potential of the cell.</w:t>
                  </w:r>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14" w:name="P023261"/>
                  <w:bookmarkEnd w:id="14"/>
                  <w:r w:rsidRPr="00742C0F">
                    <w:rPr>
                      <w:rFonts w:ascii="Times New Roman" w:eastAsia="Times New Roman" w:hAnsi="Times New Roman" w:cs="Times New Roman"/>
                      <w:sz w:val="24"/>
                      <w:szCs w:val="24"/>
                    </w:rPr>
                    <w:t xml:space="preserve">Twenty per cent of alcohol is </w:t>
                  </w:r>
                  <w:proofErr w:type="spellStart"/>
                  <w:r w:rsidRPr="00742C0F">
                    <w:rPr>
                      <w:rFonts w:ascii="Times New Roman" w:eastAsia="Times New Roman" w:hAnsi="Times New Roman" w:cs="Times New Roman"/>
                      <w:sz w:val="24"/>
                      <w:szCs w:val="24"/>
                    </w:rPr>
                    <w:t>metabolised</w:t>
                  </w:r>
                  <w:proofErr w:type="spellEnd"/>
                  <w:r w:rsidRPr="00742C0F">
                    <w:rPr>
                      <w:rFonts w:ascii="Times New Roman" w:eastAsia="Times New Roman" w:hAnsi="Times New Roman" w:cs="Times New Roman"/>
                      <w:sz w:val="24"/>
                      <w:szCs w:val="24"/>
                    </w:rPr>
                    <w:t xml:space="preserve"> by the mixed function </w:t>
                  </w:r>
                  <w:proofErr w:type="spellStart"/>
                  <w:r w:rsidRPr="00742C0F">
                    <w:rPr>
                      <w:rFonts w:ascii="Times New Roman" w:eastAsia="Times New Roman" w:hAnsi="Times New Roman" w:cs="Times New Roman"/>
                      <w:sz w:val="24"/>
                      <w:szCs w:val="24"/>
                    </w:rPr>
                    <w:t>oxidase</w:t>
                  </w:r>
                  <w:proofErr w:type="spellEnd"/>
                  <w:r w:rsidRPr="00742C0F">
                    <w:rPr>
                      <w:rFonts w:ascii="Times New Roman" w:eastAsia="Times New Roman" w:hAnsi="Times New Roman" w:cs="Times New Roman"/>
                      <w:sz w:val="24"/>
                      <w:szCs w:val="24"/>
                    </w:rPr>
                    <w:t xml:space="preserve"> enzymes of the smooth endoplasmic reticulum. </w:t>
                  </w:r>
                  <w:proofErr w:type="spellStart"/>
                  <w:r w:rsidRPr="00742C0F">
                    <w:rPr>
                      <w:rFonts w:ascii="Times New Roman" w:eastAsia="Times New Roman" w:hAnsi="Times New Roman" w:cs="Times New Roman"/>
                      <w:sz w:val="24"/>
                      <w:szCs w:val="24"/>
                    </w:rPr>
                    <w:t>Cytochrome</w:t>
                  </w:r>
                  <w:proofErr w:type="spellEnd"/>
                  <w:r w:rsidRPr="00742C0F">
                    <w:rPr>
                      <w:rFonts w:ascii="Times New Roman" w:eastAsia="Times New Roman" w:hAnsi="Times New Roman" w:cs="Times New Roman"/>
                      <w:sz w:val="24"/>
                      <w:szCs w:val="24"/>
                    </w:rPr>
                    <w:t xml:space="preserve"> CYP2E1 is induced by alcohol, which increases oxygen consumption and lipid </w:t>
                  </w:r>
                  <w:proofErr w:type="spellStart"/>
                  <w:r w:rsidRPr="00742C0F">
                    <w:rPr>
                      <w:rFonts w:ascii="Times New Roman" w:eastAsia="Times New Roman" w:hAnsi="Times New Roman" w:cs="Times New Roman"/>
                      <w:sz w:val="24"/>
                      <w:szCs w:val="24"/>
                    </w:rPr>
                    <w:t>peroxidation</w:t>
                  </w:r>
                  <w:proofErr w:type="spellEnd"/>
                  <w:r w:rsidRPr="00742C0F">
                    <w:rPr>
                      <w:rFonts w:ascii="Times New Roman" w:eastAsia="Times New Roman" w:hAnsi="Times New Roman" w:cs="Times New Roman"/>
                      <w:sz w:val="24"/>
                      <w:szCs w:val="24"/>
                    </w:rPr>
                    <w:t xml:space="preserve">. </w:t>
                  </w:r>
                  <w:proofErr w:type="spellStart"/>
                  <w:r w:rsidRPr="00742C0F">
                    <w:rPr>
                      <w:rFonts w:ascii="Times New Roman" w:eastAsia="Times New Roman" w:hAnsi="Times New Roman" w:cs="Times New Roman"/>
                      <w:sz w:val="24"/>
                      <w:szCs w:val="24"/>
                    </w:rPr>
                    <w:t>Microsomal</w:t>
                  </w:r>
                  <w:proofErr w:type="spellEnd"/>
                  <w:r w:rsidRPr="00742C0F">
                    <w:rPr>
                      <w:rFonts w:ascii="Times New Roman" w:eastAsia="Times New Roman" w:hAnsi="Times New Roman" w:cs="Times New Roman"/>
                      <w:sz w:val="24"/>
                      <w:szCs w:val="24"/>
                    </w:rPr>
                    <w:t xml:space="preserve"> </w:t>
                  </w:r>
                  <w:proofErr w:type="spellStart"/>
                  <w:r w:rsidRPr="00742C0F">
                    <w:rPr>
                      <w:rFonts w:ascii="Times New Roman" w:eastAsia="Times New Roman" w:hAnsi="Times New Roman" w:cs="Times New Roman"/>
                      <w:sz w:val="24"/>
                      <w:szCs w:val="24"/>
                    </w:rPr>
                    <w:t>peroxidation</w:t>
                  </w:r>
                  <w:proofErr w:type="spellEnd"/>
                  <w:r w:rsidRPr="00742C0F">
                    <w:rPr>
                      <w:rFonts w:ascii="Times New Roman" w:eastAsia="Times New Roman" w:hAnsi="Times New Roman" w:cs="Times New Roman"/>
                      <w:sz w:val="24"/>
                      <w:szCs w:val="24"/>
                    </w:rPr>
                    <w:t xml:space="preserve"> leads to </w:t>
                  </w:r>
                  <w:r w:rsidRPr="00742C0F">
                    <w:rPr>
                      <w:rFonts w:ascii="Times New Roman" w:eastAsia="Times New Roman" w:hAnsi="Times New Roman" w:cs="Times New Roman"/>
                      <w:color w:val="00B050"/>
                      <w:sz w:val="24"/>
                      <w:szCs w:val="24"/>
                    </w:rPr>
                    <w:t>oxygen free radicals which can induce mitochondrial damage</w:t>
                  </w:r>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15" w:name="P023262"/>
                  <w:bookmarkEnd w:id="15"/>
                  <w:r w:rsidRPr="00742C0F">
                    <w:rPr>
                      <w:rFonts w:ascii="Times New Roman" w:eastAsia="Times New Roman" w:hAnsi="Times New Roman" w:cs="Times New Roman"/>
                      <w:sz w:val="24"/>
                      <w:szCs w:val="24"/>
                    </w:rPr>
                    <w:t xml:space="preserve">The mechanisms leading to specific liver lesions of alcoholic liver disease are still poorly understood.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b/>
                      <w:bCs/>
                      <w:color w:val="00B050"/>
                      <w:sz w:val="24"/>
                      <w:szCs w:val="24"/>
                    </w:rPr>
                  </w:pPr>
                  <w:bookmarkStart w:id="16" w:name="HC023148"/>
                  <w:bookmarkEnd w:id="16"/>
                  <w:r w:rsidRPr="00742C0F">
                    <w:rPr>
                      <w:rFonts w:ascii="Times New Roman" w:eastAsia="Times New Roman" w:hAnsi="Times New Roman" w:cs="Times New Roman"/>
                      <w:b/>
                      <w:bCs/>
                      <w:color w:val="00B050"/>
                      <w:sz w:val="24"/>
                      <w:szCs w:val="24"/>
                    </w:rPr>
                    <w:t xml:space="preserve">Cytokines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8F0639">
                  <w:pPr>
                    <w:spacing w:after="0" w:line="240" w:lineRule="auto"/>
                    <w:rPr>
                      <w:rFonts w:ascii="Times New Roman" w:eastAsia="Times New Roman" w:hAnsi="Times New Roman" w:cs="Times New Roman"/>
                      <w:sz w:val="24"/>
                      <w:szCs w:val="24"/>
                    </w:rPr>
                  </w:pPr>
                  <w:bookmarkStart w:id="17" w:name="P023263"/>
                  <w:bookmarkEnd w:id="17"/>
                  <w:r w:rsidRPr="00742C0F">
                    <w:rPr>
                      <w:rFonts w:ascii="Times New Roman" w:eastAsia="Times New Roman" w:hAnsi="Times New Roman" w:cs="Times New Roman"/>
                      <w:sz w:val="24"/>
                      <w:szCs w:val="24"/>
                    </w:rPr>
                    <w:t xml:space="preserve">Increased </w:t>
                  </w:r>
                  <w:proofErr w:type="spellStart"/>
                  <w:r w:rsidRPr="00742C0F">
                    <w:rPr>
                      <w:rFonts w:ascii="Times New Roman" w:eastAsia="Times New Roman" w:hAnsi="Times New Roman" w:cs="Times New Roman"/>
                      <w:sz w:val="24"/>
                      <w:szCs w:val="24"/>
                    </w:rPr>
                    <w:t>endotoxin</w:t>
                  </w:r>
                  <w:proofErr w:type="spellEnd"/>
                  <w:r w:rsidRPr="00742C0F">
                    <w:rPr>
                      <w:rFonts w:ascii="Times New Roman" w:eastAsia="Times New Roman" w:hAnsi="Times New Roman" w:cs="Times New Roman"/>
                      <w:sz w:val="24"/>
                      <w:szCs w:val="24"/>
                    </w:rPr>
                    <w:t xml:space="preserve"> is released into the blood in alcoholic hepatitis via increased gut permeability. TNF-α production is increased from </w:t>
                  </w:r>
                  <w:proofErr w:type="spellStart"/>
                  <w:r w:rsidRPr="00742C0F">
                    <w:rPr>
                      <w:rFonts w:ascii="Times New Roman" w:eastAsia="Times New Roman" w:hAnsi="Times New Roman" w:cs="Times New Roman"/>
                      <w:sz w:val="24"/>
                      <w:szCs w:val="24"/>
                    </w:rPr>
                    <w:t>monocytes</w:t>
                  </w:r>
                  <w:proofErr w:type="spellEnd"/>
                  <w:r w:rsidRPr="00742C0F">
                    <w:rPr>
                      <w:rFonts w:ascii="Times New Roman" w:eastAsia="Times New Roman" w:hAnsi="Times New Roman" w:cs="Times New Roman"/>
                      <w:sz w:val="24"/>
                      <w:szCs w:val="24"/>
                    </w:rPr>
                    <w:t xml:space="preserve">. Release of IL-1, 2 and 8 also occurs. These </w:t>
                  </w:r>
                  <w:r w:rsidRPr="00742C0F">
                    <w:rPr>
                      <w:rFonts w:ascii="Times New Roman" w:eastAsia="Times New Roman" w:hAnsi="Times New Roman" w:cs="Times New Roman"/>
                      <w:color w:val="00B050"/>
                      <w:sz w:val="24"/>
                      <w:szCs w:val="24"/>
                    </w:rPr>
                    <w:t xml:space="preserve">cytokines are also involved in </w:t>
                  </w:r>
                  <w:proofErr w:type="spellStart"/>
                  <w:r w:rsidRPr="00742C0F">
                    <w:rPr>
                      <w:rFonts w:ascii="Times New Roman" w:eastAsia="Times New Roman" w:hAnsi="Times New Roman" w:cs="Times New Roman"/>
                      <w:color w:val="00B050"/>
                      <w:sz w:val="24"/>
                      <w:szCs w:val="24"/>
                    </w:rPr>
                    <w:t>fibrogenesis</w:t>
                  </w:r>
                  <w:proofErr w:type="spellEnd"/>
                  <w:r w:rsidRPr="00742C0F">
                    <w:rPr>
                      <w:rFonts w:ascii="Times New Roman" w:eastAsia="Times New Roman" w:hAnsi="Times New Roman" w:cs="Times New Roman"/>
                      <w:sz w:val="24"/>
                      <w:szCs w:val="24"/>
                    </w:rPr>
                    <w:t xml:space="preserve"> </w:t>
                  </w:r>
                  <w:r w:rsidR="008F0639">
                    <w:rPr>
                      <w:rFonts w:ascii="Times New Roman" w:eastAsia="Times New Roman" w:hAnsi="Times New Roman" w:cs="Times New Roman"/>
                      <w:sz w:val="24"/>
                      <w:szCs w:val="24"/>
                    </w:rPr>
                    <w:t>.</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A458A" w:rsidRDefault="007A458A" w:rsidP="00742C0F">
                  <w:pPr>
                    <w:spacing w:after="0" w:line="240" w:lineRule="auto"/>
                    <w:rPr>
                      <w:rFonts w:ascii="Times New Roman" w:eastAsia="Times New Roman" w:hAnsi="Times New Roman" w:cs="Times New Roman"/>
                      <w:sz w:val="24"/>
                      <w:szCs w:val="24"/>
                    </w:rPr>
                  </w:pPr>
                  <w:bookmarkStart w:id="18" w:name="HC023149"/>
                  <w:bookmarkEnd w:id="18"/>
                </w:p>
                <w:p w:rsidR="00742C0F" w:rsidRPr="00742C0F" w:rsidRDefault="00742C0F" w:rsidP="00742C0F">
                  <w:pPr>
                    <w:spacing w:after="0"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highlight w:val="yellow"/>
                    </w:rPr>
                    <w:t>Pathology</w:t>
                  </w:r>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8F0639" w:rsidRDefault="00742C0F" w:rsidP="008F0639">
                  <w:pPr>
                    <w:spacing w:after="0" w:line="240" w:lineRule="auto"/>
                    <w:rPr>
                      <w:rFonts w:ascii="Times New Roman" w:eastAsia="Times New Roman" w:hAnsi="Times New Roman" w:cs="Times New Roman"/>
                      <w:sz w:val="24"/>
                      <w:szCs w:val="24"/>
                    </w:rPr>
                  </w:pPr>
                  <w:bookmarkStart w:id="19" w:name="P023264"/>
                  <w:bookmarkEnd w:id="19"/>
                  <w:r w:rsidRPr="00742C0F">
                    <w:rPr>
                      <w:rFonts w:ascii="Times New Roman" w:eastAsia="Times New Roman" w:hAnsi="Times New Roman" w:cs="Times New Roman"/>
                      <w:sz w:val="24"/>
                      <w:szCs w:val="24"/>
                    </w:rPr>
                    <w:t xml:space="preserve">. In about 80% of patients with severe alcoholic hepatitis, cirrhosis will coexist at presentation. Iron deposition is common and does not necessarily indicate </w:t>
                  </w:r>
                  <w:proofErr w:type="spellStart"/>
                  <w:r w:rsidRPr="00742C0F">
                    <w:rPr>
                      <w:rFonts w:ascii="Times New Roman" w:eastAsia="Times New Roman" w:hAnsi="Times New Roman" w:cs="Times New Roman"/>
                      <w:sz w:val="24"/>
                      <w:szCs w:val="24"/>
                    </w:rPr>
                    <w:t>haemochromatosis</w:t>
                  </w:r>
                  <w:proofErr w:type="spellEnd"/>
                  <w:r w:rsidRPr="00742C0F">
                    <w:rPr>
                      <w:rFonts w:ascii="Times New Roman" w:eastAsia="Times New Roman" w:hAnsi="Times New Roman" w:cs="Times New Roman"/>
                      <w:sz w:val="24"/>
                      <w:szCs w:val="24"/>
                    </w:rPr>
                    <w:t xml:space="preserve">. </w:t>
                  </w:r>
                </w:p>
                <w:tbl>
                  <w:tblPr>
                    <w:tblW w:w="4000" w:type="pct"/>
                    <w:jc w:val="center"/>
                    <w:tblCellSpacing w:w="0" w:type="dxa"/>
                    <w:tblCellMar>
                      <w:left w:w="0" w:type="dxa"/>
                      <w:right w:w="0" w:type="dxa"/>
                    </w:tblCellMar>
                    <w:tblLook w:val="04A0"/>
                  </w:tblPr>
                  <w:tblGrid>
                    <w:gridCol w:w="7944"/>
                  </w:tblGrid>
                  <w:tr w:rsidR="008F0639" w:rsidRPr="00742C0F" w:rsidTr="008810EB">
                    <w:trPr>
                      <w:tblCellSpacing w:w="0" w:type="dxa"/>
                      <w:jc w:val="center"/>
                    </w:trPr>
                    <w:tc>
                      <w:tcPr>
                        <w:tcW w:w="5000" w:type="pct"/>
                        <w:vAlign w:val="center"/>
                        <w:hideMark/>
                      </w:tcPr>
                      <w:p w:rsidR="008F0639" w:rsidRPr="00742C0F" w:rsidRDefault="008F0639" w:rsidP="008810EB">
                        <w:pPr>
                          <w:spacing w:after="0" w:line="240" w:lineRule="auto"/>
                          <w:rPr>
                            <w:rFonts w:asciiTheme="minorBidi" w:eastAsia="Times New Roman" w:hAnsiTheme="minorBidi"/>
                            <w:i/>
                            <w:iCs/>
                            <w:sz w:val="24"/>
                            <w:szCs w:val="24"/>
                          </w:rPr>
                        </w:pPr>
                        <w:r w:rsidRPr="00742C0F">
                          <w:rPr>
                            <w:rFonts w:asciiTheme="minorBidi" w:eastAsia="Times New Roman" w:hAnsiTheme="minorBidi"/>
                            <w:i/>
                            <w:iCs/>
                            <w:sz w:val="24"/>
                            <w:szCs w:val="24"/>
                          </w:rPr>
                          <w:t>PATHOLOGICAL FEATURES OF ALCOHOLIC LIVER DISEASE</w:t>
                        </w:r>
                      </w:p>
                    </w:tc>
                  </w:tr>
                </w:tbl>
                <w:p w:rsidR="008F0639" w:rsidRPr="00742C0F" w:rsidRDefault="008F0639" w:rsidP="008F0639">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7944"/>
                  </w:tblGrid>
                  <w:tr w:rsidR="008F0639" w:rsidRPr="00742C0F" w:rsidTr="008810EB">
                    <w:trPr>
                      <w:tblCellSpacing w:w="0" w:type="dxa"/>
                      <w:jc w:val="center"/>
                    </w:trPr>
                    <w:tc>
                      <w:tcPr>
                        <w:tcW w:w="5000" w:type="pct"/>
                        <w:vAlign w:val="center"/>
                        <w:hideMark/>
                      </w:tcPr>
                      <w:p w:rsidR="008F0639" w:rsidRPr="00742C0F" w:rsidRDefault="008F0639" w:rsidP="008810EB">
                        <w:pPr>
                          <w:numPr>
                            <w:ilvl w:val="0"/>
                            <w:numId w:val="2"/>
                          </w:numPr>
                          <w:spacing w:before="100" w:beforeAutospacing="1" w:after="100" w:afterAutospacing="1" w:line="240" w:lineRule="auto"/>
                          <w:rPr>
                            <w:rFonts w:ascii="Times New Roman" w:eastAsia="Times New Roman" w:hAnsi="Times New Roman" w:cs="Times New Roman"/>
                            <w:sz w:val="24"/>
                            <w:szCs w:val="24"/>
                          </w:rPr>
                        </w:pPr>
                        <w:bookmarkStart w:id="20" w:name="PB23014"/>
                        <w:bookmarkEnd w:id="20"/>
                        <w:r w:rsidRPr="00742C0F">
                          <w:rPr>
                            <w:rFonts w:ascii="Times New Roman" w:eastAsia="Times New Roman" w:hAnsi="Times New Roman" w:cs="Times New Roman"/>
                            <w:sz w:val="24"/>
                            <w:szCs w:val="24"/>
                          </w:rPr>
                          <w:t xml:space="preserve">Alcoholic hepatitis </w:t>
                        </w:r>
                      </w:p>
                      <w:p w:rsidR="008F0639" w:rsidRPr="00742C0F" w:rsidRDefault="008F0639" w:rsidP="008810EB">
                        <w:pPr>
                          <w:numPr>
                            <w:ilvl w:val="1"/>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742C0F">
                          <w:rPr>
                            <w:rFonts w:ascii="Times New Roman" w:eastAsia="Times New Roman" w:hAnsi="Times New Roman" w:cs="Times New Roman"/>
                            <w:sz w:val="24"/>
                            <w:szCs w:val="24"/>
                          </w:rPr>
                          <w:t>Lipogranuloma</w:t>
                        </w:r>
                        <w:proofErr w:type="spellEnd"/>
                        <w:r w:rsidRPr="00742C0F">
                          <w:rPr>
                            <w:rFonts w:ascii="Times New Roman" w:eastAsia="Times New Roman" w:hAnsi="Times New Roman" w:cs="Times New Roman"/>
                            <w:sz w:val="24"/>
                            <w:szCs w:val="24"/>
                          </w:rPr>
                          <w:t xml:space="preserve"> </w:t>
                        </w:r>
                      </w:p>
                      <w:p w:rsidR="008F0639" w:rsidRPr="00742C0F" w:rsidRDefault="008F0639" w:rsidP="008810EB">
                        <w:pPr>
                          <w:numPr>
                            <w:ilvl w:val="1"/>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742C0F">
                          <w:rPr>
                            <w:rFonts w:ascii="Times New Roman" w:eastAsia="Times New Roman" w:hAnsi="Times New Roman" w:cs="Times New Roman"/>
                            <w:sz w:val="24"/>
                            <w:szCs w:val="24"/>
                          </w:rPr>
                          <w:t>Neutrophil</w:t>
                        </w:r>
                        <w:proofErr w:type="spellEnd"/>
                        <w:r w:rsidRPr="00742C0F">
                          <w:rPr>
                            <w:rFonts w:ascii="Times New Roman" w:eastAsia="Times New Roman" w:hAnsi="Times New Roman" w:cs="Times New Roman"/>
                            <w:sz w:val="24"/>
                            <w:szCs w:val="24"/>
                          </w:rPr>
                          <w:t xml:space="preserve"> infiltration </w:t>
                        </w:r>
                      </w:p>
                      <w:p w:rsidR="008F0639" w:rsidRPr="00742C0F" w:rsidRDefault="008F0639" w:rsidP="008810EB">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rPr>
                          <w:t xml:space="preserve">Mallory's hyaline </w:t>
                        </w:r>
                      </w:p>
                      <w:p w:rsidR="008F0639" w:rsidRPr="00742C0F" w:rsidRDefault="008F0639" w:rsidP="008810EB">
                        <w:pPr>
                          <w:numPr>
                            <w:ilvl w:val="1"/>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742C0F">
                          <w:rPr>
                            <w:rFonts w:ascii="Times New Roman" w:eastAsia="Times New Roman" w:hAnsi="Times New Roman" w:cs="Times New Roman"/>
                            <w:sz w:val="24"/>
                            <w:szCs w:val="24"/>
                          </w:rPr>
                          <w:lastRenderedPageBreak/>
                          <w:t>Pericellular</w:t>
                        </w:r>
                        <w:proofErr w:type="spellEnd"/>
                        <w:r w:rsidRPr="00742C0F">
                          <w:rPr>
                            <w:rFonts w:ascii="Times New Roman" w:eastAsia="Times New Roman" w:hAnsi="Times New Roman" w:cs="Times New Roman"/>
                            <w:sz w:val="24"/>
                            <w:szCs w:val="24"/>
                          </w:rPr>
                          <w:t xml:space="preserve"> fibrosis </w:t>
                        </w:r>
                      </w:p>
                      <w:p w:rsidR="008F0639" w:rsidRPr="00742C0F" w:rsidRDefault="008F0639" w:rsidP="008810EB">
                        <w:pPr>
                          <w:numPr>
                            <w:ilvl w:val="0"/>
                            <w:numId w:val="2"/>
                          </w:numPr>
                          <w:spacing w:before="100" w:beforeAutospacing="1" w:after="100" w:afterAutospacing="1" w:line="240" w:lineRule="auto"/>
                          <w:rPr>
                            <w:rFonts w:ascii="Times New Roman" w:eastAsia="Times New Roman" w:hAnsi="Times New Roman" w:cs="Times New Roman"/>
                            <w:sz w:val="24"/>
                            <w:szCs w:val="24"/>
                          </w:rPr>
                        </w:pPr>
                        <w:proofErr w:type="spellStart"/>
                        <w:r w:rsidRPr="00742C0F">
                          <w:rPr>
                            <w:rFonts w:ascii="Times New Roman" w:eastAsia="Times New Roman" w:hAnsi="Times New Roman" w:cs="Times New Roman"/>
                            <w:sz w:val="24"/>
                            <w:szCs w:val="24"/>
                          </w:rPr>
                          <w:t>Macrovesicular</w:t>
                        </w:r>
                        <w:proofErr w:type="spellEnd"/>
                        <w:r w:rsidRPr="00742C0F">
                          <w:rPr>
                            <w:rFonts w:ascii="Times New Roman" w:eastAsia="Times New Roman" w:hAnsi="Times New Roman" w:cs="Times New Roman"/>
                            <w:sz w:val="24"/>
                            <w:szCs w:val="24"/>
                          </w:rPr>
                          <w:t xml:space="preserve"> </w:t>
                        </w:r>
                        <w:proofErr w:type="spellStart"/>
                        <w:r w:rsidRPr="00742C0F">
                          <w:rPr>
                            <w:rFonts w:ascii="Times New Roman" w:eastAsia="Times New Roman" w:hAnsi="Times New Roman" w:cs="Times New Roman"/>
                            <w:sz w:val="24"/>
                            <w:szCs w:val="24"/>
                          </w:rPr>
                          <w:t>steatosis</w:t>
                        </w:r>
                        <w:proofErr w:type="spellEnd"/>
                        <w:r w:rsidRPr="00742C0F">
                          <w:rPr>
                            <w:rFonts w:ascii="Times New Roman" w:eastAsia="Times New Roman" w:hAnsi="Times New Roman" w:cs="Times New Roman"/>
                            <w:sz w:val="24"/>
                            <w:szCs w:val="24"/>
                          </w:rPr>
                          <w:t xml:space="preserve"> </w:t>
                        </w:r>
                      </w:p>
                      <w:p w:rsidR="008F0639" w:rsidRPr="00742C0F" w:rsidRDefault="008F0639" w:rsidP="008810E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rPr>
                          <w:t xml:space="preserve">Fibrosis and cirrhosis </w:t>
                        </w:r>
                      </w:p>
                      <w:p w:rsidR="008F0639" w:rsidRPr="00742C0F" w:rsidRDefault="008F0639" w:rsidP="008810E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rPr>
                          <w:t xml:space="preserve">Central hyaline sclerosis </w:t>
                        </w:r>
                      </w:p>
                    </w:tc>
                  </w:tr>
                </w:tbl>
                <w:p w:rsidR="008F0639" w:rsidRPr="00742C0F" w:rsidRDefault="008F0639" w:rsidP="008F0639">
                  <w:pPr>
                    <w:spacing w:after="0" w:line="240" w:lineRule="auto"/>
                    <w:rPr>
                      <w:rFonts w:ascii="Times New Roman" w:eastAsia="Times New Roman" w:hAnsi="Times New Roman" w:cs="Times New Roman"/>
                      <w:sz w:val="24"/>
                      <w:szCs w:val="24"/>
                    </w:rPr>
                  </w:pP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21" w:name="HC023150"/>
                  <w:bookmarkEnd w:id="21"/>
                  <w:r w:rsidRPr="00742C0F">
                    <w:rPr>
                      <w:rFonts w:ascii="Times New Roman" w:eastAsia="Times New Roman" w:hAnsi="Times New Roman" w:cs="Times New Roman"/>
                      <w:sz w:val="24"/>
                      <w:szCs w:val="24"/>
                      <w:highlight w:val="yellow"/>
                    </w:rPr>
                    <w:t>Clinical features</w:t>
                  </w:r>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22" w:name="P023265"/>
                  <w:bookmarkEnd w:id="22"/>
                  <w:r w:rsidRPr="00742C0F">
                    <w:rPr>
                      <w:rFonts w:ascii="Times New Roman" w:eastAsia="Times New Roman" w:hAnsi="Times New Roman" w:cs="Times New Roman"/>
                      <w:sz w:val="24"/>
                      <w:szCs w:val="24"/>
                    </w:rPr>
                    <w:t xml:space="preserve">Alcoholic liver disease manifests itself as a clinical spectrum ranging from incidental abnormal liver biochemistry with few physical signs to advanced cirrhosis. The liver is often enlarged in alcoholic liver disease, even in the presence of cirrhosis. Peripheral stigmata of chronic liver disease, including </w:t>
                  </w:r>
                  <w:proofErr w:type="spellStart"/>
                  <w:r w:rsidRPr="00742C0F">
                    <w:rPr>
                      <w:rFonts w:ascii="Times New Roman" w:eastAsia="Times New Roman" w:hAnsi="Times New Roman" w:cs="Times New Roman"/>
                      <w:sz w:val="24"/>
                      <w:szCs w:val="24"/>
                    </w:rPr>
                    <w:t>Dupytren's</w:t>
                  </w:r>
                  <w:proofErr w:type="spellEnd"/>
                  <w:r w:rsidRPr="00742C0F">
                    <w:rPr>
                      <w:rFonts w:ascii="Times New Roman" w:eastAsia="Times New Roman" w:hAnsi="Times New Roman" w:cs="Times New Roman"/>
                      <w:sz w:val="24"/>
                      <w:szCs w:val="24"/>
                    </w:rPr>
                    <w:t xml:space="preserve"> contractures and </w:t>
                  </w:r>
                  <w:proofErr w:type="spellStart"/>
                  <w:r w:rsidRPr="00742C0F">
                    <w:rPr>
                      <w:rFonts w:ascii="Times New Roman" w:eastAsia="Times New Roman" w:hAnsi="Times New Roman" w:cs="Times New Roman"/>
                      <w:sz w:val="24"/>
                      <w:szCs w:val="24"/>
                    </w:rPr>
                    <w:t>palmar</w:t>
                  </w:r>
                  <w:proofErr w:type="spellEnd"/>
                  <w:r w:rsidRPr="00742C0F">
                    <w:rPr>
                      <w:rFonts w:ascii="Times New Roman" w:eastAsia="Times New Roman" w:hAnsi="Times New Roman" w:cs="Times New Roman"/>
                      <w:sz w:val="24"/>
                      <w:szCs w:val="24"/>
                    </w:rPr>
                    <w:t xml:space="preserve"> </w:t>
                  </w:r>
                  <w:proofErr w:type="spellStart"/>
                  <w:r w:rsidRPr="00742C0F">
                    <w:rPr>
                      <w:rFonts w:ascii="Times New Roman" w:eastAsia="Times New Roman" w:hAnsi="Times New Roman" w:cs="Times New Roman"/>
                      <w:sz w:val="24"/>
                      <w:szCs w:val="24"/>
                    </w:rPr>
                    <w:t>erythema</w:t>
                  </w:r>
                  <w:proofErr w:type="spellEnd"/>
                  <w:r w:rsidRPr="00742C0F">
                    <w:rPr>
                      <w:rFonts w:ascii="Times New Roman" w:eastAsia="Times New Roman" w:hAnsi="Times New Roman" w:cs="Times New Roman"/>
                      <w:sz w:val="24"/>
                      <w:szCs w:val="24"/>
                    </w:rPr>
                    <w:t xml:space="preserve">, are more common in alcoholic cirrhosis than cirrhosis of other </w:t>
                  </w:r>
                  <w:proofErr w:type="spellStart"/>
                  <w:r w:rsidRPr="00742C0F">
                    <w:rPr>
                      <w:rFonts w:ascii="Times New Roman" w:eastAsia="Times New Roman" w:hAnsi="Times New Roman" w:cs="Times New Roman"/>
                      <w:sz w:val="24"/>
                      <w:szCs w:val="24"/>
                    </w:rPr>
                    <w:t>aetiologies</w:t>
                  </w:r>
                  <w:proofErr w:type="spellEnd"/>
                  <w:r w:rsidRPr="00742C0F">
                    <w:rPr>
                      <w:rFonts w:ascii="Times New Roman" w:eastAsia="Times New Roman" w:hAnsi="Times New Roman" w:cs="Times New Roman"/>
                      <w:sz w:val="24"/>
                      <w:szCs w:val="24"/>
                    </w:rPr>
                    <w:t xml:space="preserve">.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8F0639">
                  <w:pPr>
                    <w:spacing w:after="0" w:line="240" w:lineRule="auto"/>
                    <w:rPr>
                      <w:rFonts w:ascii="Times New Roman" w:eastAsia="Times New Roman" w:hAnsi="Times New Roman" w:cs="Times New Roman"/>
                      <w:sz w:val="24"/>
                      <w:szCs w:val="24"/>
                    </w:rPr>
                  </w:pPr>
                  <w:bookmarkStart w:id="23" w:name="P023266"/>
                  <w:bookmarkEnd w:id="23"/>
                  <w:r w:rsidRPr="00742C0F">
                    <w:rPr>
                      <w:rFonts w:ascii="Times New Roman" w:eastAsia="Times New Roman" w:hAnsi="Times New Roman" w:cs="Times New Roman"/>
                      <w:sz w:val="24"/>
                      <w:szCs w:val="24"/>
                    </w:rPr>
                    <w:t xml:space="preserve">The spectrum of liver disease is often divided into three syndromes but in reality these overlap considerably, as do the pathological changes seen in the liver.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shd w:val="clear" w:color="auto" w:fill="FFFFFF"/>
                  <w:vAlign w:val="center"/>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24" w:name="HC023151"/>
                  <w:bookmarkEnd w:id="24"/>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7944"/>
            </w:tblGrid>
            <w:tr w:rsidR="00742C0F" w:rsidRPr="00742C0F">
              <w:trPr>
                <w:tblCellSpacing w:w="0" w:type="dxa"/>
                <w:jc w:val="center"/>
              </w:trPr>
              <w:tc>
                <w:tcPr>
                  <w:tcW w:w="5000" w:type="pct"/>
                  <w:vAlign w:val="center"/>
                  <w:hideMark/>
                </w:tcPr>
                <w:p w:rsidR="00AC6B3A" w:rsidRDefault="00742C0F" w:rsidP="00742C0F">
                  <w:pPr>
                    <w:spacing w:after="0" w:line="240" w:lineRule="auto"/>
                    <w:rPr>
                      <w:rFonts w:ascii="Times New Roman" w:eastAsia="Times New Roman" w:hAnsi="Times New Roman" w:cs="Times New Roman"/>
                      <w:sz w:val="24"/>
                      <w:szCs w:val="24"/>
                    </w:rPr>
                  </w:pPr>
                  <w:bookmarkStart w:id="25" w:name="B023047"/>
                  <w:bookmarkEnd w:id="25"/>
                  <w:r w:rsidRPr="00742C0F">
                    <w:rPr>
                      <w:rFonts w:ascii="Times New Roman" w:eastAsia="Times New Roman" w:hAnsi="Times New Roman" w:cs="Times New Roman"/>
                      <w:sz w:val="24"/>
                      <w:szCs w:val="24"/>
                    </w:rPr>
                    <w:t>23.47 CLINICAL SYNDROMES OF ALCOHOLIC LIVER DISEASE</w:t>
                  </w:r>
                </w:p>
                <w:p w:rsidR="00742C0F" w:rsidRDefault="00742C0F" w:rsidP="00AC6B3A">
                  <w:pPr>
                    <w:spacing w:after="0" w:line="240" w:lineRule="auto"/>
                    <w:rPr>
                      <w:rFonts w:ascii="Times New Roman" w:eastAsia="Times New Roman" w:hAnsi="Times New Roman" w:cs="Times New Roman"/>
                      <w:sz w:val="24"/>
                      <w:szCs w:val="24"/>
                    </w:rPr>
                  </w:pPr>
                </w:p>
                <w:p w:rsidR="00AC6B3A" w:rsidRPr="00742C0F" w:rsidRDefault="00AC6B3A" w:rsidP="00AC6B3A">
                  <w:pPr>
                    <w:spacing w:after="0"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b/>
                      <w:bCs/>
                      <w:sz w:val="24"/>
                      <w:szCs w:val="24"/>
                    </w:rPr>
                    <w:t>Fatty liver</w:t>
                  </w:r>
                </w:p>
                <w:p w:rsidR="00AC6B3A" w:rsidRPr="00742C0F" w:rsidRDefault="00AC6B3A" w:rsidP="00742C0F">
                  <w:pPr>
                    <w:spacing w:after="0" w:line="240" w:lineRule="auto"/>
                    <w:rPr>
                      <w:rFonts w:ascii="Times New Roman" w:eastAsia="Times New Roman" w:hAnsi="Times New Roman" w:cs="Times New Roman"/>
                      <w:sz w:val="24"/>
                      <w:szCs w:val="24"/>
                    </w:rPr>
                  </w:pPr>
                </w:p>
              </w:tc>
            </w:tr>
          </w:tbl>
          <w:p w:rsidR="00742C0F" w:rsidRPr="00742C0F" w:rsidRDefault="00742C0F" w:rsidP="00742C0F">
            <w:pPr>
              <w:spacing w:after="0" w:line="240" w:lineRule="auto"/>
              <w:rPr>
                <w:rFonts w:ascii="Times New Roman" w:eastAsia="Times New Roman" w:hAnsi="Times New Roman" w:cs="Times New Roman"/>
                <w:vanish/>
                <w:sz w:val="24"/>
                <w:szCs w:val="24"/>
              </w:rPr>
            </w:pPr>
            <w:bookmarkStart w:id="26" w:name="TI023033"/>
            <w:bookmarkEnd w:id="26"/>
          </w:p>
          <w:p w:rsidR="00742C0F" w:rsidRPr="00742C0F" w:rsidRDefault="00742C0F" w:rsidP="00742C0F">
            <w:pPr>
              <w:spacing w:after="0" w:line="240" w:lineRule="auto"/>
              <w:rPr>
                <w:rFonts w:ascii="Times New Roman" w:eastAsia="Times New Roman" w:hAnsi="Times New Roman" w:cs="Times New Roman"/>
                <w:vanish/>
                <w:sz w:val="24"/>
                <w:szCs w:val="24"/>
              </w:rPr>
            </w:pPr>
            <w:bookmarkStart w:id="27" w:name="TI023033.50"/>
            <w:bookmarkEnd w:id="27"/>
          </w:p>
          <w:tbl>
            <w:tblPr>
              <w:tblW w:w="4000" w:type="pct"/>
              <w:jc w:val="center"/>
              <w:tblCellSpacing w:w="0" w:type="dxa"/>
              <w:tblCellMar>
                <w:left w:w="0" w:type="dxa"/>
                <w:right w:w="0" w:type="dxa"/>
              </w:tblCellMar>
              <w:tblLook w:val="04A0"/>
            </w:tblPr>
            <w:tblGrid>
              <w:gridCol w:w="7944"/>
            </w:tblGrid>
            <w:tr w:rsidR="00742C0F" w:rsidRPr="00742C0F">
              <w:trPr>
                <w:tblCellSpacing w:w="0" w:type="dxa"/>
                <w:jc w:val="center"/>
              </w:trPr>
              <w:tc>
                <w:tcPr>
                  <w:tcW w:w="5000" w:type="pct"/>
                  <w:vAlign w:val="center"/>
                  <w:hideMark/>
                </w:tcPr>
                <w:p w:rsidR="00742C0F" w:rsidRPr="00742C0F" w:rsidRDefault="00742C0F" w:rsidP="00742C0F">
                  <w:pPr>
                    <w:numPr>
                      <w:ilvl w:val="0"/>
                      <w:numId w:val="3"/>
                    </w:numPr>
                    <w:spacing w:before="100" w:beforeAutospacing="1" w:after="100" w:afterAutospacing="1" w:line="240" w:lineRule="auto"/>
                    <w:rPr>
                      <w:rFonts w:ascii="Times New Roman" w:eastAsia="Times New Roman" w:hAnsi="Times New Roman" w:cs="Times New Roman"/>
                      <w:sz w:val="24"/>
                      <w:szCs w:val="24"/>
                    </w:rPr>
                  </w:pPr>
                  <w:bookmarkStart w:id="28" w:name="P023268"/>
                  <w:bookmarkEnd w:id="28"/>
                  <w:r w:rsidRPr="00742C0F">
                    <w:rPr>
                      <w:rFonts w:ascii="Times New Roman" w:eastAsia="Times New Roman" w:hAnsi="Times New Roman" w:cs="Times New Roman"/>
                      <w:sz w:val="24"/>
                      <w:szCs w:val="24"/>
                    </w:rPr>
                    <w:t xml:space="preserve">Asymptomatic abnormal liver biochemistry </w:t>
                  </w:r>
                </w:p>
                <w:p w:rsidR="00742C0F" w:rsidRPr="00742C0F" w:rsidRDefault="00742C0F" w:rsidP="00742C0F">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rPr>
                    <w:t xml:space="preserve">Normal/large liver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9930"/>
            </w:tblGrid>
            <w:tr w:rsidR="00742C0F" w:rsidRPr="00742C0F">
              <w:trPr>
                <w:tblCellSpacing w:w="0" w:type="dxa"/>
              </w:trPr>
              <w:tc>
                <w:tcPr>
                  <w:tcW w:w="5000" w:type="pct"/>
                  <w:vAlign w:val="center"/>
                  <w:hideMark/>
                </w:tcPr>
                <w:p w:rsidR="00742C0F" w:rsidRPr="00742C0F" w:rsidRDefault="008E451C" w:rsidP="00742C0F">
                  <w:pPr>
                    <w:spacing w:after="0" w:line="240" w:lineRule="auto"/>
                    <w:rPr>
                      <w:rFonts w:ascii="Times New Roman" w:eastAsia="Times New Roman" w:hAnsi="Times New Roman" w:cs="Times New Roman"/>
                      <w:sz w:val="24"/>
                      <w:szCs w:val="24"/>
                    </w:rPr>
                  </w:pPr>
                  <w:r w:rsidRPr="008E451C">
                    <w:rPr>
                      <w:rFonts w:ascii="Times New Roman" w:eastAsia="Times New Roman" w:hAnsi="Times New Roman" w:cs="Times New Roman"/>
                      <w:sz w:val="24"/>
                      <w:szCs w:val="24"/>
                    </w:rPr>
                    <w:pict>
                      <v:shape id="_x0000_i1026" type="#_x0000_t75" alt="" style="width:.65pt;height:7.8pt"/>
                    </w:pict>
                  </w:r>
                </w:p>
              </w:tc>
            </w:tr>
          </w:tbl>
          <w:p w:rsidR="00742C0F" w:rsidRPr="00742C0F" w:rsidRDefault="00742C0F" w:rsidP="00742C0F">
            <w:pPr>
              <w:spacing w:after="0" w:line="240" w:lineRule="auto"/>
              <w:rPr>
                <w:rFonts w:ascii="Times New Roman" w:eastAsia="Times New Roman" w:hAnsi="Times New Roman" w:cs="Times New Roman"/>
                <w:sz w:val="24"/>
                <w:szCs w:val="24"/>
              </w:rPr>
            </w:pPr>
          </w:p>
        </w:tc>
      </w:tr>
      <w:tr w:rsidR="00742C0F" w:rsidRPr="00742C0F" w:rsidTr="005B4185">
        <w:trPr>
          <w:tblCellSpacing w:w="0" w:type="dxa"/>
        </w:trPr>
        <w:tc>
          <w:tcPr>
            <w:tcW w:w="5000" w:type="pct"/>
            <w:shd w:val="clear" w:color="auto" w:fill="FFFFFF"/>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29" w:name="TI023033.100"/>
            <w:bookmarkEnd w:id="29"/>
          </w:p>
        </w:tc>
      </w:tr>
      <w:tr w:rsidR="00742C0F" w:rsidRPr="00742C0F" w:rsidTr="005B4185">
        <w:trPr>
          <w:tblCellSpacing w:w="0" w:type="dxa"/>
        </w:trPr>
        <w:tc>
          <w:tcPr>
            <w:tcW w:w="5000" w:type="pct"/>
            <w:shd w:val="clear" w:color="auto" w:fill="FFFFFF"/>
            <w:hideMark/>
          </w:tcPr>
          <w:p w:rsidR="00742C0F" w:rsidRPr="00742C0F" w:rsidRDefault="00742C0F" w:rsidP="00742C0F">
            <w:pPr>
              <w:spacing w:after="0" w:line="240" w:lineRule="auto"/>
              <w:rPr>
                <w:rFonts w:ascii="Times New Roman" w:eastAsia="Times New Roman" w:hAnsi="Times New Roman" w:cs="Times New Roman"/>
                <w:sz w:val="24"/>
                <w:szCs w:val="24"/>
              </w:rPr>
            </w:pPr>
            <w:bookmarkStart w:id="30" w:name="TI023033.150"/>
            <w:bookmarkEnd w:id="30"/>
            <w:r w:rsidRPr="00742C0F">
              <w:rPr>
                <w:rFonts w:ascii="Times New Roman" w:eastAsia="Times New Roman" w:hAnsi="Times New Roman" w:cs="Times New Roman"/>
                <w:b/>
                <w:bCs/>
                <w:sz w:val="24"/>
                <w:szCs w:val="24"/>
              </w:rPr>
              <w:t>Alcoholic hepatitis</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912"/>
      </w:tblGrid>
      <w:tr w:rsidR="00742C0F" w:rsidRPr="00742C0F" w:rsidTr="00742C0F">
        <w:trPr>
          <w:tblCellSpacing w:w="0" w:type="dxa"/>
          <w:jc w:val="center"/>
        </w:trPr>
        <w:tc>
          <w:tcPr>
            <w:tcW w:w="5000" w:type="pct"/>
            <w:vAlign w:val="center"/>
            <w:hideMark/>
          </w:tcPr>
          <w:p w:rsidR="00742C0F" w:rsidRPr="00742C0F" w:rsidRDefault="00742C0F" w:rsidP="00742C0F">
            <w:pPr>
              <w:numPr>
                <w:ilvl w:val="0"/>
                <w:numId w:val="4"/>
              </w:numPr>
              <w:spacing w:before="100" w:beforeAutospacing="1" w:after="100" w:afterAutospacing="1" w:line="240" w:lineRule="auto"/>
              <w:rPr>
                <w:rFonts w:ascii="Times New Roman" w:eastAsia="Times New Roman" w:hAnsi="Times New Roman" w:cs="Times New Roman"/>
                <w:sz w:val="24"/>
                <w:szCs w:val="24"/>
              </w:rPr>
            </w:pPr>
            <w:bookmarkStart w:id="31" w:name="P023269"/>
            <w:bookmarkEnd w:id="31"/>
            <w:r w:rsidRPr="00742C0F">
              <w:rPr>
                <w:rFonts w:ascii="Times New Roman" w:eastAsia="Times New Roman" w:hAnsi="Times New Roman" w:cs="Times New Roman"/>
                <w:sz w:val="24"/>
                <w:szCs w:val="24"/>
              </w:rPr>
              <w:t xml:space="preserve">Jaundice </w:t>
            </w:r>
          </w:p>
          <w:p w:rsidR="00742C0F" w:rsidRPr="00742C0F" w:rsidRDefault="00742C0F" w:rsidP="00742C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rPr>
              <w:t xml:space="preserve">Malnutrition </w:t>
            </w:r>
          </w:p>
          <w:p w:rsidR="00742C0F" w:rsidRPr="00742C0F" w:rsidRDefault="00742C0F" w:rsidP="00742C0F">
            <w:pPr>
              <w:numPr>
                <w:ilvl w:val="0"/>
                <w:numId w:val="4"/>
              </w:numPr>
              <w:spacing w:before="100" w:beforeAutospacing="1" w:after="100" w:afterAutospacing="1" w:line="240" w:lineRule="auto"/>
              <w:rPr>
                <w:rFonts w:ascii="Times New Roman" w:eastAsia="Times New Roman" w:hAnsi="Times New Roman" w:cs="Times New Roman"/>
                <w:sz w:val="24"/>
                <w:szCs w:val="24"/>
              </w:rPr>
            </w:pPr>
            <w:proofErr w:type="spellStart"/>
            <w:r w:rsidRPr="00742C0F">
              <w:rPr>
                <w:rFonts w:ascii="Times New Roman" w:eastAsia="Times New Roman" w:hAnsi="Times New Roman" w:cs="Times New Roman"/>
                <w:sz w:val="24"/>
                <w:szCs w:val="24"/>
              </w:rPr>
              <w:t>Hepatomegaly</w:t>
            </w:r>
            <w:proofErr w:type="spellEnd"/>
            <w:r w:rsidRPr="00742C0F">
              <w:rPr>
                <w:rFonts w:ascii="Times New Roman" w:eastAsia="Times New Roman" w:hAnsi="Times New Roman" w:cs="Times New Roman"/>
                <w:sz w:val="24"/>
                <w:szCs w:val="24"/>
              </w:rPr>
              <w:t xml:space="preserve"> </w:t>
            </w:r>
          </w:p>
          <w:p w:rsidR="00742C0F" w:rsidRPr="00742C0F" w:rsidRDefault="00742C0F" w:rsidP="00742C0F">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742C0F">
              <w:rPr>
                <w:rFonts w:ascii="Times New Roman" w:eastAsia="Times New Roman" w:hAnsi="Times New Roman" w:cs="Times New Roman"/>
                <w:sz w:val="24"/>
                <w:szCs w:val="24"/>
              </w:rPr>
              <w:t xml:space="preserve">Features of portal hypertension (e.g. </w:t>
            </w:r>
            <w:proofErr w:type="spellStart"/>
            <w:r w:rsidRPr="00742C0F">
              <w:rPr>
                <w:rFonts w:ascii="Times New Roman" w:eastAsia="Times New Roman" w:hAnsi="Times New Roman" w:cs="Times New Roman"/>
                <w:sz w:val="24"/>
                <w:szCs w:val="24"/>
              </w:rPr>
              <w:t>ascites</w:t>
            </w:r>
            <w:proofErr w:type="spellEnd"/>
            <w:r w:rsidRPr="00742C0F">
              <w:rPr>
                <w:rFonts w:ascii="Times New Roman" w:eastAsia="Times New Roman" w:hAnsi="Times New Roman" w:cs="Times New Roman"/>
                <w:sz w:val="24"/>
                <w:szCs w:val="24"/>
              </w:rPr>
              <w:t xml:space="preserve">, encephalopathy) </w:t>
            </w:r>
          </w:p>
        </w:tc>
      </w:tr>
    </w:tbl>
    <w:p w:rsidR="00742C0F" w:rsidRPr="00742C0F" w:rsidRDefault="00742C0F" w:rsidP="00742C0F">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742C0F" w:rsidRPr="00742C0F" w:rsidTr="00742C0F">
        <w:trPr>
          <w:tblCellSpacing w:w="0" w:type="dxa"/>
        </w:trPr>
        <w:tc>
          <w:tcPr>
            <w:tcW w:w="5000" w:type="pct"/>
            <w:vAlign w:val="center"/>
            <w:hideMark/>
          </w:tcPr>
          <w:p w:rsidR="00742C0F" w:rsidRPr="00742C0F" w:rsidRDefault="008E451C" w:rsidP="00742C0F">
            <w:pPr>
              <w:spacing w:after="0" w:line="240" w:lineRule="auto"/>
              <w:rPr>
                <w:rFonts w:ascii="Times New Roman" w:eastAsia="Times New Roman" w:hAnsi="Times New Roman" w:cs="Times New Roman"/>
                <w:sz w:val="24"/>
                <w:szCs w:val="24"/>
              </w:rPr>
            </w:pPr>
            <w:r w:rsidRPr="008E451C">
              <w:rPr>
                <w:rFonts w:ascii="Times New Roman" w:eastAsia="Times New Roman" w:hAnsi="Times New Roman" w:cs="Times New Roman"/>
                <w:sz w:val="24"/>
                <w:szCs w:val="24"/>
              </w:rPr>
              <w:pict>
                <v:shape id="_x0000_i1027" type="#_x0000_t75" alt="" style="width:.65pt;height:7.8pt"/>
              </w:pict>
            </w:r>
          </w:p>
        </w:tc>
      </w:tr>
    </w:tbl>
    <w:p w:rsidR="008F0639" w:rsidRDefault="00742C0F">
      <w:bookmarkStart w:id="32" w:name="TI023033.200"/>
      <w:bookmarkStart w:id="33" w:name="TI023033.250"/>
      <w:bookmarkEnd w:id="32"/>
      <w:bookmarkEnd w:id="33"/>
      <w:r w:rsidRPr="00742C0F">
        <w:rPr>
          <w:rFonts w:ascii="Times New Roman" w:eastAsia="Times New Roman" w:hAnsi="Times New Roman" w:cs="Times New Roman"/>
          <w:b/>
          <w:bCs/>
          <w:sz w:val="24"/>
          <w:szCs w:val="24"/>
        </w:rPr>
        <w:t>Cirrhosis</w:t>
      </w:r>
    </w:p>
    <w:tbl>
      <w:tblPr>
        <w:tblpPr w:leftFromText="180" w:rightFromText="180" w:vertAnchor="text" w:tblpXSpec="center" w:tblpY="1"/>
        <w:tblOverlap w:val="never"/>
        <w:tblW w:w="4000" w:type="pct"/>
        <w:tblCellSpacing w:w="0" w:type="dxa"/>
        <w:tblCellMar>
          <w:left w:w="0" w:type="dxa"/>
          <w:right w:w="0" w:type="dxa"/>
        </w:tblCellMar>
        <w:tblLook w:val="04A0"/>
      </w:tblPr>
      <w:tblGrid>
        <w:gridCol w:w="6912"/>
      </w:tblGrid>
      <w:tr w:rsidR="008F0639" w:rsidRPr="008F0639" w:rsidTr="007B2CB2">
        <w:trPr>
          <w:tblCellSpacing w:w="0" w:type="dxa"/>
        </w:trPr>
        <w:tc>
          <w:tcPr>
            <w:tcW w:w="5000" w:type="pct"/>
            <w:vAlign w:val="center"/>
            <w:hideMark/>
          </w:tcPr>
          <w:p w:rsidR="008F0639" w:rsidRPr="008F0639" w:rsidRDefault="008F0639" w:rsidP="007B2CB2">
            <w:pPr>
              <w:numPr>
                <w:ilvl w:val="0"/>
                <w:numId w:val="5"/>
              </w:numPr>
              <w:spacing w:before="100" w:beforeAutospacing="1" w:after="100" w:afterAutospacing="1" w:line="240" w:lineRule="auto"/>
              <w:rPr>
                <w:rFonts w:ascii="Times New Roman" w:eastAsia="Times New Roman" w:hAnsi="Times New Roman" w:cs="Times New Roman"/>
                <w:sz w:val="24"/>
                <w:szCs w:val="24"/>
              </w:rPr>
            </w:pPr>
            <w:bookmarkStart w:id="34" w:name="P023270"/>
            <w:bookmarkEnd w:id="34"/>
            <w:r w:rsidRPr="008F0639">
              <w:rPr>
                <w:rFonts w:ascii="Times New Roman" w:eastAsia="Times New Roman" w:hAnsi="Times New Roman" w:cs="Times New Roman"/>
                <w:sz w:val="24"/>
                <w:szCs w:val="24"/>
              </w:rPr>
              <w:t xml:space="preserve">Stigmata of chronic liver disease </w:t>
            </w:r>
          </w:p>
          <w:p w:rsidR="008F0639" w:rsidRPr="008F0639" w:rsidRDefault="008F0639" w:rsidP="007B2CB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F0639">
              <w:rPr>
                <w:rFonts w:ascii="Times New Roman" w:eastAsia="Times New Roman" w:hAnsi="Times New Roman" w:cs="Times New Roman"/>
                <w:sz w:val="24"/>
                <w:szCs w:val="24"/>
              </w:rPr>
              <w:t xml:space="preserve">Large, normal or small liver </w:t>
            </w:r>
          </w:p>
          <w:p w:rsidR="008F0639" w:rsidRPr="008F0639" w:rsidRDefault="008F0639" w:rsidP="007B2CB2">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8F0639">
              <w:rPr>
                <w:rFonts w:ascii="Times New Roman" w:eastAsia="Times New Roman" w:hAnsi="Times New Roman" w:cs="Times New Roman"/>
                <w:sz w:val="24"/>
                <w:szCs w:val="24"/>
              </w:rPr>
              <w:t>Ascites</w:t>
            </w:r>
            <w:proofErr w:type="spellEnd"/>
            <w:r w:rsidRPr="008F0639">
              <w:rPr>
                <w:rFonts w:ascii="Times New Roman" w:eastAsia="Times New Roman" w:hAnsi="Times New Roman" w:cs="Times New Roman"/>
                <w:sz w:val="24"/>
                <w:szCs w:val="24"/>
              </w:rPr>
              <w:t>/</w:t>
            </w:r>
            <w:proofErr w:type="spellStart"/>
            <w:r w:rsidRPr="008F0639">
              <w:rPr>
                <w:rFonts w:ascii="Times New Roman" w:eastAsia="Times New Roman" w:hAnsi="Times New Roman" w:cs="Times New Roman"/>
                <w:sz w:val="24"/>
                <w:szCs w:val="24"/>
              </w:rPr>
              <w:t>varices</w:t>
            </w:r>
            <w:proofErr w:type="spellEnd"/>
            <w:r w:rsidRPr="008F0639">
              <w:rPr>
                <w:rFonts w:ascii="Times New Roman" w:eastAsia="Times New Roman" w:hAnsi="Times New Roman" w:cs="Times New Roman"/>
                <w:sz w:val="24"/>
                <w:szCs w:val="24"/>
              </w:rPr>
              <w:t xml:space="preserve">/encephalopathy </w:t>
            </w:r>
          </w:p>
          <w:p w:rsidR="007B2CB2" w:rsidRPr="008F0639" w:rsidRDefault="008F0639" w:rsidP="007B2CB2">
            <w:pPr>
              <w:numPr>
                <w:ilvl w:val="0"/>
                <w:numId w:val="5"/>
              </w:numPr>
              <w:spacing w:before="100" w:beforeAutospacing="1" w:after="100" w:afterAutospacing="1" w:line="240" w:lineRule="auto"/>
              <w:rPr>
                <w:rFonts w:ascii="Times New Roman" w:eastAsia="Times New Roman" w:hAnsi="Times New Roman" w:cs="Times New Roman"/>
                <w:sz w:val="24"/>
                <w:szCs w:val="24"/>
              </w:rPr>
            </w:pPr>
            <w:proofErr w:type="spellStart"/>
            <w:r w:rsidRPr="008F0639">
              <w:rPr>
                <w:rFonts w:ascii="Times New Roman" w:eastAsia="Times New Roman" w:hAnsi="Times New Roman" w:cs="Times New Roman"/>
                <w:sz w:val="24"/>
                <w:szCs w:val="24"/>
              </w:rPr>
              <w:t>Hepatocellular</w:t>
            </w:r>
            <w:proofErr w:type="spellEnd"/>
            <w:r w:rsidRPr="008F0639">
              <w:rPr>
                <w:rFonts w:ascii="Times New Roman" w:eastAsia="Times New Roman" w:hAnsi="Times New Roman" w:cs="Times New Roman"/>
                <w:sz w:val="24"/>
                <w:szCs w:val="24"/>
              </w:rPr>
              <w:t xml:space="preserve"> carcinoma </w:t>
            </w:r>
          </w:p>
        </w:tc>
      </w:tr>
    </w:tbl>
    <w:p w:rsidR="008F0639" w:rsidRPr="008F0639" w:rsidRDefault="007B2CB2" w:rsidP="008F0639">
      <w:pPr>
        <w:spacing w:after="0" w:line="240" w:lineRule="auto"/>
        <w:rPr>
          <w:rFonts w:ascii="Times New Roman" w:eastAsia="Times New Roman" w:hAnsi="Times New Roman" w:cs="Times New Roman"/>
          <w:vanish/>
          <w:sz w:val="24"/>
          <w:szCs w:val="24"/>
        </w:rPr>
      </w:pPr>
      <w:r>
        <w:rPr>
          <w:rFonts w:ascii="Times New Roman" w:eastAsia="Times New Roman" w:hAnsi="Times New Roman" w:cs="Times New Roman"/>
          <w:vanish/>
          <w:sz w:val="24"/>
          <w:szCs w:val="24"/>
        </w:rPr>
        <w:br w:type="textWrapping" w:clear="all"/>
      </w: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vAlign w:val="center"/>
            <w:hideMark/>
          </w:tcPr>
          <w:p w:rsidR="008F0639" w:rsidRPr="008F0639" w:rsidRDefault="008E451C" w:rsidP="008F0639">
            <w:pPr>
              <w:spacing w:after="0" w:line="240" w:lineRule="auto"/>
              <w:rPr>
                <w:rFonts w:ascii="Times New Roman" w:eastAsia="Times New Roman" w:hAnsi="Times New Roman" w:cs="Times New Roman"/>
                <w:sz w:val="24"/>
                <w:szCs w:val="24"/>
              </w:rPr>
            </w:pPr>
            <w:r w:rsidRPr="008E451C">
              <w:rPr>
                <w:rFonts w:ascii="Times New Roman" w:eastAsia="Times New Roman" w:hAnsi="Times New Roman" w:cs="Times New Roman"/>
                <w:sz w:val="24"/>
                <w:szCs w:val="24"/>
              </w:rPr>
              <w:pict>
                <v:shape id="_x0000_i1028" type="#_x0000_t75" alt="" style="width:.65pt;height:7.8pt"/>
              </w:pic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bookmarkStart w:id="35" w:name="TI023033.300"/>
      <w:bookmarkEnd w:id="35"/>
    </w:p>
    <w:tbl>
      <w:tblPr>
        <w:tblW w:w="4500" w:type="pct"/>
        <w:jc w:val="center"/>
        <w:tblCellSpacing w:w="0" w:type="dxa"/>
        <w:tblCellMar>
          <w:left w:w="0" w:type="dxa"/>
          <w:right w:w="0" w:type="dxa"/>
        </w:tblCellMar>
        <w:tblLook w:val="04A0"/>
      </w:tblPr>
      <w:tblGrid>
        <w:gridCol w:w="7776"/>
      </w:tblGrid>
      <w:tr w:rsidR="008F0639" w:rsidRPr="008F0639" w:rsidTr="008F0639">
        <w:trPr>
          <w:tblCellSpacing w:w="0" w:type="dxa"/>
          <w:jc w:val="center"/>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36" w:name=""/>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7B2CB2" w:rsidRDefault="007B2CB2" w:rsidP="008F0639">
            <w:pPr>
              <w:spacing w:after="0" w:line="240" w:lineRule="auto"/>
              <w:rPr>
                <w:rFonts w:ascii="Times New Roman" w:eastAsia="Times New Roman" w:hAnsi="Times New Roman" w:cs="Times New Roman"/>
                <w:sz w:val="24"/>
                <w:szCs w:val="24"/>
              </w:rPr>
            </w:pPr>
            <w:bookmarkStart w:id="37" w:name="P023267"/>
            <w:bookmarkEnd w:id="37"/>
            <w:r w:rsidRPr="008F0639">
              <w:rPr>
                <w:rFonts w:ascii="Times New Roman" w:eastAsia="Times New Roman" w:hAnsi="Times New Roman" w:cs="Times New Roman"/>
                <w:sz w:val="24"/>
                <w:szCs w:val="24"/>
                <w:highlight w:val="yellow"/>
              </w:rPr>
              <w:t>Investigations</w:t>
            </w:r>
          </w:p>
          <w:p w:rsidR="008F0639" w:rsidRPr="008F0639" w:rsidRDefault="008F0639" w:rsidP="008F0639">
            <w:pPr>
              <w:spacing w:after="0" w:line="240" w:lineRule="auto"/>
              <w:rPr>
                <w:rFonts w:ascii="Times New Roman" w:eastAsia="Times New Roman" w:hAnsi="Times New Roman" w:cs="Times New Roman"/>
                <w:sz w:val="24"/>
                <w:szCs w:val="24"/>
              </w:rPr>
            </w:pPr>
            <w:r w:rsidRPr="008F0639">
              <w:rPr>
                <w:rFonts w:ascii="Times New Roman" w:eastAsia="Times New Roman" w:hAnsi="Times New Roman" w:cs="Times New Roman"/>
                <w:sz w:val="24"/>
                <w:szCs w:val="24"/>
              </w:rPr>
              <w:t xml:space="preserve">Investigations aim to establish alcohol misuse, exclude alternative or coexistent causes of liver disease, such as hepatitis C or </w:t>
            </w:r>
            <w:proofErr w:type="spellStart"/>
            <w:r w:rsidRPr="008F0639">
              <w:rPr>
                <w:rFonts w:ascii="Times New Roman" w:eastAsia="Times New Roman" w:hAnsi="Times New Roman" w:cs="Times New Roman"/>
                <w:sz w:val="24"/>
                <w:szCs w:val="24"/>
              </w:rPr>
              <w:t>haemochromatosis</w:t>
            </w:r>
            <w:proofErr w:type="spellEnd"/>
            <w:r w:rsidRPr="008F0639">
              <w:rPr>
                <w:rFonts w:ascii="Times New Roman" w:eastAsia="Times New Roman" w:hAnsi="Times New Roman" w:cs="Times New Roman"/>
                <w:sz w:val="24"/>
                <w:szCs w:val="24"/>
              </w:rPr>
              <w:t xml:space="preserve">, and assess the severity of liver disease. The clinical history from patient, relatives and friends is most important in establishing alcohol misuse, duration and severity. Biological markers, particularly </w:t>
            </w:r>
            <w:proofErr w:type="spellStart"/>
            <w:r w:rsidRPr="008F0639">
              <w:rPr>
                <w:rFonts w:ascii="Times New Roman" w:eastAsia="Times New Roman" w:hAnsi="Times New Roman" w:cs="Times New Roman"/>
                <w:sz w:val="24"/>
                <w:szCs w:val="24"/>
              </w:rPr>
              <w:t>macrocytosis</w:t>
            </w:r>
            <w:proofErr w:type="spellEnd"/>
            <w:r w:rsidRPr="008F0639">
              <w:rPr>
                <w:rFonts w:ascii="Times New Roman" w:eastAsia="Times New Roman" w:hAnsi="Times New Roman" w:cs="Times New Roman"/>
                <w:sz w:val="24"/>
                <w:szCs w:val="24"/>
              </w:rPr>
              <w:t xml:space="preserve"> in the absence of </w:t>
            </w:r>
            <w:proofErr w:type="spellStart"/>
            <w:r w:rsidRPr="008F0639">
              <w:rPr>
                <w:rFonts w:ascii="Times New Roman" w:eastAsia="Times New Roman" w:hAnsi="Times New Roman" w:cs="Times New Roman"/>
                <w:sz w:val="24"/>
                <w:szCs w:val="24"/>
              </w:rPr>
              <w:t>anaemia</w:t>
            </w:r>
            <w:proofErr w:type="spellEnd"/>
            <w:r w:rsidRPr="008F0639">
              <w:rPr>
                <w:rFonts w:ascii="Times New Roman" w:eastAsia="Times New Roman" w:hAnsi="Times New Roman" w:cs="Times New Roman"/>
                <w:sz w:val="24"/>
                <w:szCs w:val="24"/>
              </w:rPr>
              <w:t xml:space="preserve">, may suggest and support a history of alcohol misuse. A raised GGT is not specific for alcohol misuse and will be elevated in the presence of hepatic </w:t>
            </w:r>
            <w:proofErr w:type="spellStart"/>
            <w:r w:rsidRPr="008F0639">
              <w:rPr>
                <w:rFonts w:ascii="Times New Roman" w:eastAsia="Times New Roman" w:hAnsi="Times New Roman" w:cs="Times New Roman"/>
                <w:sz w:val="24"/>
                <w:szCs w:val="24"/>
              </w:rPr>
              <w:t>steatosis</w:t>
            </w:r>
            <w:proofErr w:type="spellEnd"/>
            <w:r w:rsidRPr="008F0639">
              <w:rPr>
                <w:rFonts w:ascii="Times New Roman" w:eastAsia="Times New Roman" w:hAnsi="Times New Roman" w:cs="Times New Roman"/>
                <w:sz w:val="24"/>
                <w:szCs w:val="24"/>
              </w:rPr>
              <w:t xml:space="preserve"> and fibrosis. The level may not therefore return to normal with abstinence if chronic liver disease is present. Unexplained rib fractures, particularly bilateral, on a chest X-ray are also suggestive of alcohol misuse.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38" w:name="P023271"/>
            <w:bookmarkEnd w:id="38"/>
            <w:r w:rsidRPr="008F0639">
              <w:rPr>
                <w:rFonts w:ascii="Times New Roman" w:eastAsia="Times New Roman" w:hAnsi="Times New Roman" w:cs="Times New Roman"/>
                <w:sz w:val="24"/>
                <w:szCs w:val="24"/>
              </w:rPr>
              <w:t xml:space="preserve">The presence of jaundice suggests alcoholic hepatitis. Determining the extent of liver damage often requires a liver biopsy.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7B2CB2">
            <w:pPr>
              <w:spacing w:after="0" w:line="240" w:lineRule="auto"/>
              <w:rPr>
                <w:rFonts w:ascii="Times New Roman" w:eastAsia="Times New Roman" w:hAnsi="Times New Roman" w:cs="Times New Roman"/>
                <w:sz w:val="24"/>
                <w:szCs w:val="24"/>
              </w:rPr>
            </w:pPr>
            <w:bookmarkStart w:id="39" w:name="P023272"/>
            <w:bookmarkEnd w:id="39"/>
            <w:proofErr w:type="spellStart"/>
            <w:r w:rsidRPr="008F0639">
              <w:rPr>
                <w:rFonts w:ascii="Times New Roman" w:eastAsia="Times New Roman" w:hAnsi="Times New Roman" w:cs="Times New Roman"/>
                <w:sz w:val="24"/>
                <w:szCs w:val="24"/>
              </w:rPr>
              <w:t>Prothrombin</w:t>
            </w:r>
            <w:proofErr w:type="spellEnd"/>
            <w:r w:rsidRPr="008F0639">
              <w:rPr>
                <w:rFonts w:ascii="Times New Roman" w:eastAsia="Times New Roman" w:hAnsi="Times New Roman" w:cs="Times New Roman"/>
                <w:sz w:val="24"/>
                <w:szCs w:val="24"/>
              </w:rPr>
              <w:t xml:space="preserve"> time and </w:t>
            </w:r>
            <w:proofErr w:type="spellStart"/>
            <w:r w:rsidRPr="008F0639">
              <w:rPr>
                <w:rFonts w:ascii="Times New Roman" w:eastAsia="Times New Roman" w:hAnsi="Times New Roman" w:cs="Times New Roman"/>
                <w:sz w:val="24"/>
                <w:szCs w:val="24"/>
              </w:rPr>
              <w:t>bilirubin</w:t>
            </w:r>
            <w:proofErr w:type="spellEnd"/>
            <w:r w:rsidRPr="008F0639">
              <w:rPr>
                <w:rFonts w:ascii="Times New Roman" w:eastAsia="Times New Roman" w:hAnsi="Times New Roman" w:cs="Times New Roman"/>
                <w:sz w:val="24"/>
                <w:szCs w:val="24"/>
              </w:rPr>
              <w:t xml:space="preserve"> can be used to give a '</w:t>
            </w:r>
            <w:proofErr w:type="spellStart"/>
            <w:r w:rsidRPr="008F0639">
              <w:rPr>
                <w:rFonts w:ascii="Times New Roman" w:eastAsia="Times New Roman" w:hAnsi="Times New Roman" w:cs="Times New Roman"/>
                <w:sz w:val="24"/>
                <w:szCs w:val="24"/>
              </w:rPr>
              <w:t>discriminant</w:t>
            </w:r>
            <w:proofErr w:type="spellEnd"/>
            <w:r w:rsidRPr="008F0639">
              <w:rPr>
                <w:rFonts w:ascii="Times New Roman" w:eastAsia="Times New Roman" w:hAnsi="Times New Roman" w:cs="Times New Roman"/>
                <w:sz w:val="24"/>
                <w:szCs w:val="24"/>
              </w:rPr>
              <w:t xml:space="preserve"> function' (DF), also known as the </w:t>
            </w:r>
            <w:proofErr w:type="spellStart"/>
            <w:r w:rsidRPr="008F0639">
              <w:rPr>
                <w:rFonts w:ascii="Times New Roman" w:eastAsia="Times New Roman" w:hAnsi="Times New Roman" w:cs="Times New Roman"/>
                <w:sz w:val="24"/>
                <w:szCs w:val="24"/>
              </w:rPr>
              <w:t>Maddrey's</w:t>
            </w:r>
            <w:proofErr w:type="spellEnd"/>
            <w:r w:rsidRPr="008F0639">
              <w:rPr>
                <w:rFonts w:ascii="Times New Roman" w:eastAsia="Times New Roman" w:hAnsi="Times New Roman" w:cs="Times New Roman"/>
                <w:sz w:val="24"/>
                <w:szCs w:val="24"/>
              </w:rPr>
              <w:t xml:space="preserve"> score, which enables the clinician to assess prognosis in alcoholic hepatitis (PT = </w:t>
            </w:r>
            <w:proofErr w:type="spellStart"/>
            <w:r w:rsidRPr="008F0639">
              <w:rPr>
                <w:rFonts w:ascii="Times New Roman" w:eastAsia="Times New Roman" w:hAnsi="Times New Roman" w:cs="Times New Roman"/>
                <w:sz w:val="24"/>
                <w:szCs w:val="24"/>
              </w:rPr>
              <w:t>prothrombin</w:t>
            </w:r>
            <w:proofErr w:type="spellEnd"/>
            <w:r w:rsidRPr="008F0639">
              <w:rPr>
                <w:rFonts w:ascii="Times New Roman" w:eastAsia="Times New Roman" w:hAnsi="Times New Roman" w:cs="Times New Roman"/>
                <w:sz w:val="24"/>
                <w:szCs w:val="24"/>
              </w:rPr>
              <w:t xml:space="preserve"> time. Serum </w:t>
            </w:r>
            <w:proofErr w:type="spellStart"/>
            <w:r w:rsidRPr="008F0639">
              <w:rPr>
                <w:rFonts w:ascii="Times New Roman" w:eastAsia="Times New Roman" w:hAnsi="Times New Roman" w:cs="Times New Roman"/>
                <w:sz w:val="24"/>
                <w:szCs w:val="24"/>
              </w:rPr>
              <w:t>bilirubin</w:t>
            </w:r>
            <w:proofErr w:type="spellEnd"/>
            <w:r w:rsidRPr="008F0639">
              <w:rPr>
                <w:rFonts w:ascii="Times New Roman" w:eastAsia="Times New Roman" w:hAnsi="Times New Roman" w:cs="Times New Roman"/>
                <w:sz w:val="24"/>
                <w:szCs w:val="24"/>
              </w:rPr>
              <w:t xml:space="preserve"> in </w:t>
            </w:r>
            <w:proofErr w:type="spellStart"/>
            <w:r w:rsidRPr="008F0639">
              <w:rPr>
                <w:rFonts w:ascii="Times New Roman" w:eastAsia="Times New Roman" w:hAnsi="Times New Roman" w:cs="Times New Roman"/>
                <w:sz w:val="24"/>
                <w:szCs w:val="24"/>
              </w:rPr>
              <w:t>μmol</w:t>
            </w:r>
            <w:proofErr w:type="spellEnd"/>
            <w:r w:rsidRPr="008F0639">
              <w:rPr>
                <w:rFonts w:ascii="Times New Roman" w:eastAsia="Times New Roman" w:hAnsi="Times New Roman" w:cs="Times New Roman"/>
                <w:sz w:val="24"/>
                <w:szCs w:val="24"/>
              </w:rPr>
              <w:t>/l is divided by 17 to convert to mg/dl):</w:t>
            </w:r>
            <w:r w:rsidR="007B2CB2">
              <w:rPr>
                <w:rFonts w:ascii="Times New Roman" w:eastAsia="Times New Roman" w:hAnsi="Times New Roman" w:cs="Times New Roman"/>
                <w:sz w:val="24"/>
                <w:szCs w:val="24"/>
              </w:rPr>
              <w:t xml:space="preserve"> =</w:t>
            </w:r>
            <w:r w:rsidRPr="008F0639">
              <w:rPr>
                <w:rFonts w:ascii="Times New Roman" w:eastAsia="Times New Roman" w:hAnsi="Times New Roman" w:cs="Times New Roman"/>
                <w:sz w:val="24"/>
                <w:szCs w:val="24"/>
              </w:rPr>
              <w:br/>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40" w:name="P023273"/>
            <w:bookmarkEnd w:id="40"/>
            <w:r w:rsidRPr="008F0639">
              <w:rPr>
                <w:rFonts w:ascii="Times New Roman" w:eastAsia="Times New Roman" w:hAnsi="Times New Roman" w:cs="Times New Roman"/>
                <w:sz w:val="24"/>
                <w:szCs w:val="24"/>
              </w:rPr>
              <w:t xml:space="preserve">A value over 32 implies severe liver disease with a poor prognosis.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41" w:name="HC023152"/>
            <w:bookmarkEnd w:id="41"/>
            <w:r w:rsidRPr="008F0639">
              <w:rPr>
                <w:rFonts w:ascii="Times New Roman" w:eastAsia="Times New Roman" w:hAnsi="Times New Roman" w:cs="Times New Roman"/>
                <w:sz w:val="24"/>
                <w:szCs w:val="24"/>
                <w:highlight w:val="yellow"/>
              </w:rPr>
              <w:t>Management</w:t>
            </w:r>
            <w:r w:rsidRPr="008F0639">
              <w:rPr>
                <w:rFonts w:ascii="Times New Roman" w:eastAsia="Times New Roman" w:hAnsi="Times New Roman" w:cs="Times New Roman"/>
                <w:sz w:val="24"/>
                <w:szCs w:val="24"/>
              </w:rPr>
              <w:t xml:space="preserv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42" w:name="P023274"/>
            <w:bookmarkEnd w:id="42"/>
            <w:r w:rsidRPr="008F0639">
              <w:rPr>
                <w:rFonts w:ascii="Times New Roman" w:eastAsia="Times New Roman" w:hAnsi="Times New Roman" w:cs="Times New Roman"/>
                <w:color w:val="00B050"/>
                <w:sz w:val="24"/>
                <w:szCs w:val="24"/>
              </w:rPr>
              <w:t xml:space="preserve">Cessation of alcohol </w:t>
            </w:r>
            <w:r w:rsidRPr="008F0639">
              <w:rPr>
                <w:rFonts w:ascii="Times New Roman" w:eastAsia="Times New Roman" w:hAnsi="Times New Roman" w:cs="Times New Roman"/>
                <w:sz w:val="24"/>
                <w:szCs w:val="24"/>
              </w:rPr>
              <w:t xml:space="preserve">consumption is the single most important treatment; without this all other therapies are of limited value. Abstinence is even effective at preventing progression of liver disease and death when cirrhosis is present. Life-long abstinence is the best advice and is essential for those with more severe liver disease.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43" w:name="P023275"/>
            <w:bookmarkEnd w:id="43"/>
            <w:r w:rsidRPr="008F0639">
              <w:rPr>
                <w:rFonts w:ascii="Times New Roman" w:eastAsia="Times New Roman" w:hAnsi="Times New Roman" w:cs="Times New Roman"/>
                <w:color w:val="00B050"/>
                <w:sz w:val="24"/>
                <w:szCs w:val="24"/>
              </w:rPr>
              <w:t>Treatment for complications</w:t>
            </w:r>
            <w:r w:rsidRPr="008F0639">
              <w:rPr>
                <w:rFonts w:ascii="Times New Roman" w:eastAsia="Times New Roman" w:hAnsi="Times New Roman" w:cs="Times New Roman"/>
                <w:sz w:val="24"/>
                <w:szCs w:val="24"/>
              </w:rPr>
              <w:t xml:space="preserve"> of cirrhosis, such as </w:t>
            </w:r>
            <w:proofErr w:type="spellStart"/>
            <w:r w:rsidRPr="008F0639">
              <w:rPr>
                <w:rFonts w:ascii="Times New Roman" w:eastAsia="Times New Roman" w:hAnsi="Times New Roman" w:cs="Times New Roman"/>
                <w:sz w:val="24"/>
                <w:szCs w:val="24"/>
              </w:rPr>
              <w:t>variceal</w:t>
            </w:r>
            <w:proofErr w:type="spellEnd"/>
            <w:r w:rsidRPr="008F0639">
              <w:rPr>
                <w:rFonts w:ascii="Times New Roman" w:eastAsia="Times New Roman" w:hAnsi="Times New Roman" w:cs="Times New Roman"/>
                <w:sz w:val="24"/>
                <w:szCs w:val="24"/>
              </w:rPr>
              <w:t xml:space="preserve"> bleeding, encephalopathy and </w:t>
            </w:r>
            <w:proofErr w:type="spellStart"/>
            <w:r w:rsidRPr="008F0639">
              <w:rPr>
                <w:rFonts w:ascii="Times New Roman" w:eastAsia="Times New Roman" w:hAnsi="Times New Roman" w:cs="Times New Roman"/>
                <w:sz w:val="24"/>
                <w:szCs w:val="24"/>
              </w:rPr>
              <w:t>ascites</w:t>
            </w:r>
            <w:proofErr w:type="spellEnd"/>
            <w:r w:rsidRPr="008F0639">
              <w:rPr>
                <w:rFonts w:ascii="Times New Roman" w:eastAsia="Times New Roman" w:hAnsi="Times New Roman" w:cs="Times New Roman"/>
                <w:sz w:val="24"/>
                <w:szCs w:val="24"/>
              </w:rPr>
              <w:t xml:space="preserve">, may also be needed.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color w:val="00B050"/>
                <w:sz w:val="24"/>
                <w:szCs w:val="24"/>
              </w:rPr>
            </w:pPr>
            <w:bookmarkStart w:id="44" w:name="HC023153"/>
            <w:bookmarkEnd w:id="44"/>
            <w:r w:rsidRPr="008F0639">
              <w:rPr>
                <w:rFonts w:ascii="Times New Roman" w:eastAsia="Times New Roman" w:hAnsi="Times New Roman" w:cs="Times New Roman"/>
                <w:color w:val="00B050"/>
                <w:sz w:val="24"/>
                <w:szCs w:val="24"/>
              </w:rPr>
              <w:t xml:space="preserve">Nutrition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45" w:name="P023276"/>
            <w:bookmarkEnd w:id="45"/>
            <w:r w:rsidRPr="008F0639">
              <w:rPr>
                <w:rFonts w:ascii="Times New Roman" w:eastAsia="Times New Roman" w:hAnsi="Times New Roman" w:cs="Times New Roman"/>
                <w:sz w:val="24"/>
                <w:szCs w:val="24"/>
              </w:rPr>
              <w:t xml:space="preserve">Good nutrition is very important and </w:t>
            </w:r>
            <w:proofErr w:type="spellStart"/>
            <w:r w:rsidRPr="008F0639">
              <w:rPr>
                <w:rFonts w:ascii="Times New Roman" w:eastAsia="Times New Roman" w:hAnsi="Times New Roman" w:cs="Times New Roman"/>
                <w:sz w:val="24"/>
                <w:szCs w:val="24"/>
              </w:rPr>
              <w:t>enteral</w:t>
            </w:r>
            <w:proofErr w:type="spellEnd"/>
            <w:r w:rsidRPr="008F0639">
              <w:rPr>
                <w:rFonts w:ascii="Times New Roman" w:eastAsia="Times New Roman" w:hAnsi="Times New Roman" w:cs="Times New Roman"/>
                <w:sz w:val="24"/>
                <w:szCs w:val="24"/>
              </w:rPr>
              <w:t xml:space="preserve"> feeding via a fine-bore </w:t>
            </w:r>
            <w:proofErr w:type="spellStart"/>
            <w:r w:rsidRPr="008F0639">
              <w:rPr>
                <w:rFonts w:ascii="Times New Roman" w:eastAsia="Times New Roman" w:hAnsi="Times New Roman" w:cs="Times New Roman"/>
                <w:sz w:val="24"/>
                <w:szCs w:val="24"/>
              </w:rPr>
              <w:t>nasogastric</w:t>
            </w:r>
            <w:proofErr w:type="spellEnd"/>
            <w:r w:rsidRPr="008F0639">
              <w:rPr>
                <w:rFonts w:ascii="Times New Roman" w:eastAsia="Times New Roman" w:hAnsi="Times New Roman" w:cs="Times New Roman"/>
                <w:sz w:val="24"/>
                <w:szCs w:val="24"/>
              </w:rPr>
              <w:t xml:space="preserve"> tube may be needed in severely ill patients.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color w:val="00B050"/>
                <w:sz w:val="24"/>
                <w:szCs w:val="24"/>
              </w:rPr>
            </w:pPr>
            <w:bookmarkStart w:id="46" w:name="HC023154"/>
            <w:bookmarkEnd w:id="46"/>
            <w:r w:rsidRPr="008F0639">
              <w:rPr>
                <w:rFonts w:ascii="Times New Roman" w:eastAsia="Times New Roman" w:hAnsi="Times New Roman" w:cs="Times New Roman"/>
                <w:color w:val="00B050"/>
                <w:sz w:val="24"/>
                <w:szCs w:val="24"/>
              </w:rPr>
              <w:t xml:space="preserve">Corticosteroids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vAlign w:val="center"/>
            <w:hideMark/>
          </w:tcPr>
          <w:p w:rsidR="008F0639" w:rsidRPr="008F0639" w:rsidRDefault="008F0639" w:rsidP="008F0639">
            <w:pPr>
              <w:spacing w:after="0" w:line="240" w:lineRule="auto"/>
              <w:jc w:val="right"/>
              <w:rPr>
                <w:rFonts w:ascii="Times New Roman" w:eastAsia="Times New Roman" w:hAnsi="Times New Roman" w:cs="Times New Roman"/>
                <w:sz w:val="24"/>
                <w:szCs w:val="24"/>
              </w:rPr>
            </w:pPr>
          </w:p>
        </w:tc>
      </w:tr>
      <w:tr w:rsidR="008F0639" w:rsidRPr="008F0639" w:rsidTr="008F0639">
        <w:trPr>
          <w:tblCellSpacing w:w="0" w:type="dxa"/>
        </w:trPr>
        <w:tc>
          <w:tcPr>
            <w:tcW w:w="5000" w:type="pct"/>
            <w:shd w:val="clear" w:color="auto" w:fill="EEEEEE"/>
            <w:vAlign w:val="center"/>
            <w:hideMark/>
          </w:tcPr>
          <w:p w:rsidR="008F0639" w:rsidRPr="008F0639" w:rsidRDefault="008F0639" w:rsidP="008F0639">
            <w:pPr>
              <w:spacing w:after="0" w:line="240" w:lineRule="auto"/>
              <w:jc w:val="right"/>
              <w:rPr>
                <w:rFonts w:ascii="Times New Roman" w:eastAsia="Times New Roman" w:hAnsi="Times New Roman" w:cs="Times New Roman"/>
                <w:sz w:val="24"/>
                <w:szCs w:val="24"/>
              </w:rPr>
            </w:pPr>
            <w:bookmarkStart w:id="47" w:name="P0971"/>
            <w:bookmarkEnd w:id="47"/>
          </w:p>
        </w:tc>
      </w:tr>
      <w:tr w:rsidR="008F0639" w:rsidRPr="008F0639" w:rsidTr="008F0639">
        <w:trPr>
          <w:tblCellSpacing w:w="0" w:type="dxa"/>
        </w:trPr>
        <w:tc>
          <w:tcPr>
            <w:tcW w:w="5000" w:type="pct"/>
            <w:vAlign w:val="center"/>
            <w:hideMark/>
          </w:tcPr>
          <w:p w:rsidR="008F0639" w:rsidRPr="008F0639" w:rsidRDefault="008F0639" w:rsidP="008F0639">
            <w:pPr>
              <w:spacing w:after="0" w:line="240" w:lineRule="auto"/>
              <w:jc w:val="right"/>
              <w:rPr>
                <w:rFonts w:ascii="Times New Roman" w:eastAsia="Times New Roman" w:hAnsi="Times New Roman" w:cs="Times New Roman"/>
                <w:sz w:val="24"/>
                <w:szCs w:val="24"/>
              </w:rPr>
            </w:pP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4000" w:type="pct"/>
        <w:jc w:val="center"/>
        <w:tblCellSpacing w:w="0" w:type="dxa"/>
        <w:tblCellMar>
          <w:left w:w="0" w:type="dxa"/>
          <w:right w:w="0" w:type="dxa"/>
        </w:tblCellMar>
        <w:tblLook w:val="04A0"/>
      </w:tblPr>
      <w:tblGrid>
        <w:gridCol w:w="6912"/>
      </w:tblGrid>
      <w:tr w:rsidR="008F0639" w:rsidRPr="008F0639" w:rsidTr="008F0639">
        <w:trPr>
          <w:tblCellSpacing w:w="0" w:type="dxa"/>
          <w:jc w:val="center"/>
        </w:trPr>
        <w:tc>
          <w:tcPr>
            <w:tcW w:w="5000" w:type="pct"/>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48" w:name="B023048"/>
            <w:bookmarkEnd w:id="48"/>
          </w:p>
        </w:tc>
      </w:tr>
    </w:tbl>
    <w:p w:rsidR="008F0639" w:rsidRPr="008F0639" w:rsidRDefault="008F0639" w:rsidP="008F0639">
      <w:pPr>
        <w:spacing w:after="0" w:line="240" w:lineRule="auto"/>
        <w:rPr>
          <w:rFonts w:ascii="Times New Roman" w:eastAsia="Times New Roman" w:hAnsi="Times New Roman" w:cs="Times New Roman"/>
          <w:vanish/>
          <w:sz w:val="24"/>
          <w:szCs w:val="24"/>
        </w:rPr>
      </w:pPr>
      <w:bookmarkStart w:id="49" w:name="TI023034"/>
      <w:bookmarkEnd w:id="49"/>
    </w:p>
    <w:tbl>
      <w:tblPr>
        <w:tblW w:w="0" w:type="auto"/>
        <w:jc w:val="center"/>
        <w:tblCellSpacing w:w="0" w:type="dxa"/>
        <w:tblCellMar>
          <w:top w:w="15" w:type="dxa"/>
          <w:left w:w="15" w:type="dxa"/>
          <w:bottom w:w="15" w:type="dxa"/>
          <w:right w:w="15" w:type="dxa"/>
        </w:tblCellMar>
        <w:tblLook w:val="04A0"/>
      </w:tblPr>
      <w:tblGrid>
        <w:gridCol w:w="8670"/>
      </w:tblGrid>
      <w:tr w:rsidR="008F0639" w:rsidRPr="008F0639" w:rsidTr="008F0639">
        <w:trPr>
          <w:tblCellSpacing w:w="0" w:type="dxa"/>
          <w:jc w:val="center"/>
        </w:trPr>
        <w:tc>
          <w:tcPr>
            <w:tcW w:w="0" w:type="auto"/>
            <w:shd w:val="clear" w:color="auto" w:fill="FFFFFF"/>
            <w:hideMark/>
          </w:tcPr>
          <w:p w:rsidR="008F0639" w:rsidRPr="008F0639" w:rsidRDefault="008F0639" w:rsidP="008F0639">
            <w:pPr>
              <w:spacing w:after="0" w:line="240" w:lineRule="auto"/>
              <w:rPr>
                <w:rFonts w:ascii="Times New Roman" w:eastAsia="Times New Roman" w:hAnsi="Times New Roman" w:cs="Times New Roman"/>
                <w:color w:val="E36C0A" w:themeColor="accent6" w:themeShade="BF"/>
                <w:sz w:val="24"/>
                <w:szCs w:val="24"/>
              </w:rPr>
            </w:pPr>
            <w:bookmarkStart w:id="50" w:name="TI023034.50"/>
            <w:bookmarkEnd w:id="50"/>
            <w:r w:rsidRPr="008F0639">
              <w:rPr>
                <w:rFonts w:ascii="Times New Roman" w:eastAsia="Times New Roman" w:hAnsi="Times New Roman" w:cs="Times New Roman"/>
                <w:color w:val="E36C0A" w:themeColor="accent6" w:themeShade="BF"/>
                <w:sz w:val="24"/>
                <w:szCs w:val="24"/>
              </w:rPr>
              <w:t>'In severe alcoholic hepatitis corticosteroids improve survival at 28 days from 65% to 85% (NNT</w:t>
            </w:r>
            <w:r w:rsidRPr="008F0639">
              <w:rPr>
                <w:rFonts w:ascii="Times New Roman" w:eastAsia="Times New Roman" w:hAnsi="Times New Roman" w:cs="Times New Roman"/>
                <w:color w:val="E36C0A" w:themeColor="accent6" w:themeShade="BF"/>
                <w:sz w:val="24"/>
                <w:szCs w:val="24"/>
                <w:vertAlign w:val="subscript"/>
              </w:rPr>
              <w:t>B</w:t>
            </w:r>
            <w:r w:rsidRPr="008F0639">
              <w:rPr>
                <w:rFonts w:ascii="Times New Roman" w:eastAsia="Times New Roman" w:hAnsi="Times New Roman" w:cs="Times New Roman"/>
                <w:color w:val="E36C0A" w:themeColor="accent6" w:themeShade="BF"/>
                <w:sz w:val="24"/>
                <w:szCs w:val="24"/>
              </w:rPr>
              <w:t xml:space="preserve"> 5).'</w:t>
            </w:r>
          </w:p>
        </w:tc>
      </w:tr>
    </w:tbl>
    <w:p w:rsidR="008F0639" w:rsidRPr="008F0639" w:rsidRDefault="008F0639" w:rsidP="008F0639">
      <w:pPr>
        <w:spacing w:after="0" w:line="240" w:lineRule="auto"/>
        <w:rPr>
          <w:rFonts w:ascii="Times New Roman" w:eastAsia="Times New Roman" w:hAnsi="Times New Roman" w:cs="Times New Roman"/>
          <w:vanish/>
          <w:color w:val="E36C0A" w:themeColor="accent6" w:themeShade="BF"/>
          <w:sz w:val="24"/>
          <w:szCs w:val="24"/>
        </w:rPr>
      </w:pPr>
    </w:p>
    <w:p w:rsidR="008F0639" w:rsidRPr="008F0639" w:rsidRDefault="008F0639" w:rsidP="008F0639">
      <w:pPr>
        <w:spacing w:after="0" w:line="240" w:lineRule="auto"/>
        <w:rPr>
          <w:rFonts w:ascii="Times New Roman" w:eastAsia="Times New Roman" w:hAnsi="Times New Roman" w:cs="Times New Roman"/>
          <w:vanish/>
          <w:color w:val="E36C0A" w:themeColor="accent6" w:themeShade="BF"/>
          <w:sz w:val="24"/>
          <w:szCs w:val="24"/>
        </w:rPr>
      </w:pPr>
      <w:bookmarkStart w:id="51" w:name="P023278"/>
      <w:bookmarkStart w:id="52" w:name="TI023035"/>
      <w:bookmarkEnd w:id="51"/>
      <w:bookmarkEnd w:id="52"/>
    </w:p>
    <w:tbl>
      <w:tblPr>
        <w:tblW w:w="0" w:type="auto"/>
        <w:jc w:val="center"/>
        <w:tblCellSpacing w:w="0" w:type="dxa"/>
        <w:tblCellMar>
          <w:top w:w="15" w:type="dxa"/>
          <w:left w:w="15" w:type="dxa"/>
          <w:bottom w:w="15" w:type="dxa"/>
          <w:right w:w="15" w:type="dxa"/>
        </w:tblCellMar>
        <w:tblLook w:val="04A0"/>
      </w:tblPr>
      <w:tblGrid>
        <w:gridCol w:w="36"/>
      </w:tblGrid>
      <w:tr w:rsidR="008F0639" w:rsidRPr="008F0639" w:rsidTr="008F0639">
        <w:trPr>
          <w:tblCellSpacing w:w="0" w:type="dxa"/>
          <w:jc w:val="center"/>
        </w:trPr>
        <w:tc>
          <w:tcPr>
            <w:tcW w:w="0" w:type="auto"/>
            <w:shd w:val="clear" w:color="auto" w:fill="FFFFFF"/>
            <w:hideMark/>
          </w:tcPr>
          <w:p w:rsidR="008F0639" w:rsidRPr="008F0639" w:rsidRDefault="008F0639" w:rsidP="008F0639">
            <w:pPr>
              <w:spacing w:after="0" w:line="240" w:lineRule="auto"/>
              <w:rPr>
                <w:rFonts w:ascii="Times New Roman" w:eastAsia="Times New Roman" w:hAnsi="Times New Roman" w:cs="Times New Roman"/>
                <w:color w:val="E36C0A" w:themeColor="accent6" w:themeShade="BF"/>
                <w:sz w:val="24"/>
                <w:szCs w:val="24"/>
              </w:rPr>
            </w:pPr>
            <w:bookmarkStart w:id="53" w:name="TI023035.50"/>
            <w:bookmarkEnd w:id="53"/>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p w:rsidR="008F0639" w:rsidRPr="008F0639" w:rsidRDefault="008F0639" w:rsidP="008F0639">
      <w:pPr>
        <w:spacing w:after="0" w:line="240" w:lineRule="auto"/>
        <w:rPr>
          <w:rFonts w:ascii="Times New Roman" w:eastAsia="Times New Roman" w:hAnsi="Times New Roman" w:cs="Times New Roman"/>
          <w:sz w:val="24"/>
          <w:szCs w:val="24"/>
        </w:rPr>
      </w:pPr>
      <w:bookmarkStart w:id="54" w:name="P023279"/>
      <w:bookmarkEnd w:id="54"/>
      <w:r w:rsidRPr="008F0639">
        <w:rPr>
          <w:rFonts w:ascii="Times New Roman" w:eastAsia="Times New Roman" w:hAnsi="Times New Roman" w:cs="Times New Roman"/>
          <w:sz w:val="24"/>
          <w:szCs w:val="24"/>
        </w:rPr>
        <w:t xml:space="preserve"> </w:t>
      </w:r>
    </w:p>
    <w:tbl>
      <w:tblPr>
        <w:tblW w:w="4500" w:type="pct"/>
        <w:jc w:val="center"/>
        <w:tblCellSpacing w:w="0" w:type="dxa"/>
        <w:tblCellMar>
          <w:left w:w="0" w:type="dxa"/>
          <w:right w:w="0" w:type="dxa"/>
        </w:tblCellMar>
        <w:tblLook w:val="04A0"/>
      </w:tblPr>
      <w:tblGrid>
        <w:gridCol w:w="7776"/>
      </w:tblGrid>
      <w:tr w:rsidR="008F0639" w:rsidRPr="008F0639" w:rsidTr="008F0639">
        <w:trPr>
          <w:tblCellSpacing w:w="0" w:type="dxa"/>
          <w:jc w:val="center"/>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p>
        </w:tc>
      </w:tr>
      <w:bookmarkEnd w:id="36"/>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5B4185">
            <w:pPr>
              <w:spacing w:after="0" w:line="240" w:lineRule="auto"/>
              <w:rPr>
                <w:rFonts w:ascii="Times New Roman" w:eastAsia="Times New Roman" w:hAnsi="Times New Roman" w:cs="Times New Roman"/>
                <w:sz w:val="24"/>
                <w:szCs w:val="24"/>
              </w:rPr>
            </w:pPr>
            <w:bookmarkStart w:id="55" w:name="P023277"/>
            <w:bookmarkEnd w:id="55"/>
            <w:r w:rsidRPr="008F0639">
              <w:rPr>
                <w:rFonts w:ascii="Times New Roman" w:eastAsia="Times New Roman" w:hAnsi="Times New Roman" w:cs="Times New Roman"/>
                <w:sz w:val="24"/>
                <w:szCs w:val="24"/>
              </w:rPr>
              <w:t>These are of value in patients with severe alcoholic hepatitis (</w:t>
            </w:r>
            <w:proofErr w:type="spellStart"/>
            <w:r w:rsidRPr="008F0639">
              <w:rPr>
                <w:rFonts w:ascii="Times New Roman" w:eastAsia="Times New Roman" w:hAnsi="Times New Roman" w:cs="Times New Roman"/>
                <w:sz w:val="24"/>
                <w:szCs w:val="24"/>
              </w:rPr>
              <w:t>Maddrey's</w:t>
            </w:r>
            <w:proofErr w:type="spellEnd"/>
            <w:r w:rsidRPr="008F0639">
              <w:rPr>
                <w:rFonts w:ascii="Times New Roman" w:eastAsia="Times New Roman" w:hAnsi="Times New Roman" w:cs="Times New Roman"/>
                <w:sz w:val="24"/>
                <w:szCs w:val="24"/>
              </w:rPr>
              <w:t xml:space="preserve"> discriminative score &gt; 32) and increase survival . Sepsis is the main side-effect of steroids, and existing sepsis and </w:t>
            </w:r>
            <w:proofErr w:type="spellStart"/>
            <w:r w:rsidRPr="008F0639">
              <w:rPr>
                <w:rFonts w:ascii="Times New Roman" w:eastAsia="Times New Roman" w:hAnsi="Times New Roman" w:cs="Times New Roman"/>
                <w:sz w:val="24"/>
                <w:szCs w:val="24"/>
              </w:rPr>
              <w:t>variceal</w:t>
            </w:r>
            <w:proofErr w:type="spellEnd"/>
            <w:r w:rsidRPr="008F0639">
              <w:rPr>
                <w:rFonts w:ascii="Times New Roman" w:eastAsia="Times New Roman" w:hAnsi="Times New Roman" w:cs="Times New Roman"/>
                <w:sz w:val="24"/>
                <w:szCs w:val="24"/>
              </w:rPr>
              <w:t xml:space="preserve"> </w:t>
            </w:r>
            <w:proofErr w:type="spellStart"/>
            <w:r w:rsidRPr="008F0639">
              <w:rPr>
                <w:rFonts w:ascii="Times New Roman" w:eastAsia="Times New Roman" w:hAnsi="Times New Roman" w:cs="Times New Roman"/>
                <w:sz w:val="24"/>
                <w:szCs w:val="24"/>
              </w:rPr>
              <w:t>haemorrhage</w:t>
            </w:r>
            <w:proofErr w:type="spellEnd"/>
            <w:r w:rsidRPr="008F0639">
              <w:rPr>
                <w:rFonts w:ascii="Times New Roman" w:eastAsia="Times New Roman" w:hAnsi="Times New Roman" w:cs="Times New Roman"/>
                <w:sz w:val="24"/>
                <w:szCs w:val="24"/>
              </w:rPr>
              <w:t xml:space="preserve"> are the main contraindication to their use. If the </w:t>
            </w:r>
            <w:proofErr w:type="spellStart"/>
            <w:r w:rsidRPr="008F0639">
              <w:rPr>
                <w:rFonts w:ascii="Times New Roman" w:eastAsia="Times New Roman" w:hAnsi="Times New Roman" w:cs="Times New Roman"/>
                <w:sz w:val="24"/>
                <w:szCs w:val="24"/>
              </w:rPr>
              <w:t>bilirubin</w:t>
            </w:r>
            <w:proofErr w:type="spellEnd"/>
            <w:r w:rsidRPr="008F0639">
              <w:rPr>
                <w:rFonts w:ascii="Times New Roman" w:eastAsia="Times New Roman" w:hAnsi="Times New Roman" w:cs="Times New Roman"/>
                <w:sz w:val="24"/>
                <w:szCs w:val="24"/>
              </w:rPr>
              <w:t xml:space="preserve"> has not fallen 7 days after starting steroids, they are unlikely to reduce mortality and should be stopped.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5B4185" w:rsidRDefault="008F0639" w:rsidP="008F0639">
            <w:pPr>
              <w:spacing w:after="0" w:line="240" w:lineRule="auto"/>
              <w:rPr>
                <w:rFonts w:ascii="Times New Roman" w:eastAsia="Times New Roman" w:hAnsi="Times New Roman" w:cs="Times New Roman"/>
                <w:color w:val="00B050"/>
                <w:sz w:val="24"/>
                <w:szCs w:val="24"/>
              </w:rPr>
            </w:pPr>
            <w:bookmarkStart w:id="56" w:name="HC023155"/>
            <w:bookmarkEnd w:id="56"/>
            <w:proofErr w:type="spellStart"/>
            <w:r w:rsidRPr="008F0639">
              <w:rPr>
                <w:rFonts w:ascii="Times New Roman" w:eastAsia="Times New Roman" w:hAnsi="Times New Roman" w:cs="Times New Roman"/>
                <w:color w:val="00B050"/>
                <w:sz w:val="24"/>
                <w:szCs w:val="24"/>
              </w:rPr>
              <w:t>Pentoxifylline</w:t>
            </w:r>
            <w:proofErr w:type="spellEnd"/>
            <w:r w:rsidRPr="008F0639">
              <w:rPr>
                <w:rFonts w:ascii="Times New Roman" w:eastAsia="Times New Roman" w:hAnsi="Times New Roman" w:cs="Times New Roman"/>
                <w:color w:val="00B050"/>
                <w:sz w:val="24"/>
                <w:szCs w:val="24"/>
              </w:rPr>
              <w:t xml:space="preserve"> </w:t>
            </w:r>
          </w:p>
          <w:p w:rsidR="005B4185" w:rsidRPr="008F0639" w:rsidRDefault="005B4185" w:rsidP="005B4185">
            <w:pPr>
              <w:spacing w:after="0" w:line="240" w:lineRule="auto"/>
              <w:rPr>
                <w:rFonts w:ascii="Times New Roman" w:eastAsia="Times New Roman" w:hAnsi="Times New Roman" w:cs="Times New Roman"/>
                <w:color w:val="00B050"/>
                <w:sz w:val="24"/>
                <w:szCs w:val="24"/>
              </w:rPr>
            </w:pPr>
            <w:r w:rsidRPr="008F0639">
              <w:rPr>
                <w:rFonts w:ascii="Times New Roman" w:eastAsia="Times New Roman" w:hAnsi="Times New Roman" w:cs="Times New Roman"/>
                <w:color w:val="E36C0A" w:themeColor="accent6" w:themeShade="BF"/>
                <w:sz w:val="24"/>
                <w:szCs w:val="24"/>
              </w:rPr>
              <w:t xml:space="preserve">'In severe alcoholic hepatitis, oral </w:t>
            </w:r>
            <w:proofErr w:type="spellStart"/>
            <w:r w:rsidRPr="008F0639">
              <w:rPr>
                <w:rFonts w:ascii="Times New Roman" w:eastAsia="Times New Roman" w:hAnsi="Times New Roman" w:cs="Times New Roman"/>
                <w:color w:val="E36C0A" w:themeColor="accent6" w:themeShade="BF"/>
                <w:sz w:val="24"/>
                <w:szCs w:val="24"/>
              </w:rPr>
              <w:t>pentoxifylline</w:t>
            </w:r>
            <w:proofErr w:type="spellEnd"/>
            <w:r w:rsidRPr="008F0639">
              <w:rPr>
                <w:rFonts w:ascii="Times New Roman" w:eastAsia="Times New Roman" w:hAnsi="Times New Roman" w:cs="Times New Roman"/>
                <w:color w:val="E36C0A" w:themeColor="accent6" w:themeShade="BF"/>
                <w:sz w:val="24"/>
                <w:szCs w:val="24"/>
              </w:rPr>
              <w:t xml:space="preserve"> reduces inpatient mortality, particularly from </w:t>
            </w:r>
            <w:proofErr w:type="spellStart"/>
            <w:r w:rsidRPr="008F0639">
              <w:rPr>
                <w:rFonts w:ascii="Times New Roman" w:eastAsia="Times New Roman" w:hAnsi="Times New Roman" w:cs="Times New Roman"/>
                <w:color w:val="E36C0A" w:themeColor="accent6" w:themeShade="BF"/>
                <w:sz w:val="24"/>
                <w:szCs w:val="24"/>
              </w:rPr>
              <w:t>hepatorenal</w:t>
            </w:r>
            <w:proofErr w:type="spellEnd"/>
            <w:r w:rsidRPr="008F0639">
              <w:rPr>
                <w:rFonts w:ascii="Times New Roman" w:eastAsia="Times New Roman" w:hAnsi="Times New Roman" w:cs="Times New Roman"/>
                <w:color w:val="E36C0A" w:themeColor="accent6" w:themeShade="BF"/>
                <w:sz w:val="24"/>
                <w:szCs w:val="24"/>
              </w:rPr>
              <w:t xml:space="preserve"> failure, from 46% to 25% (NNT</w:t>
            </w:r>
            <w:r w:rsidRPr="008F0639">
              <w:rPr>
                <w:rFonts w:ascii="Times New Roman" w:eastAsia="Times New Roman" w:hAnsi="Times New Roman" w:cs="Times New Roman"/>
                <w:color w:val="E36C0A" w:themeColor="accent6" w:themeShade="BF"/>
                <w:sz w:val="24"/>
                <w:szCs w:val="24"/>
                <w:vertAlign w:val="subscript"/>
              </w:rPr>
              <w:t>B</w:t>
            </w:r>
            <w:r w:rsidRPr="008F0639">
              <w:rPr>
                <w:rFonts w:ascii="Times New Roman" w:eastAsia="Times New Roman" w:hAnsi="Times New Roman" w:cs="Times New Roman"/>
                <w:color w:val="E36C0A" w:themeColor="accent6" w:themeShade="BF"/>
                <w:sz w:val="24"/>
                <w:szCs w:val="24"/>
              </w:rPr>
              <w:t xml:space="preserve"> 5).</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5B4185">
            <w:pPr>
              <w:spacing w:after="0" w:line="240" w:lineRule="auto"/>
              <w:rPr>
                <w:rFonts w:ascii="Times New Roman" w:eastAsia="Times New Roman" w:hAnsi="Times New Roman" w:cs="Times New Roman"/>
                <w:sz w:val="24"/>
                <w:szCs w:val="24"/>
              </w:rPr>
            </w:pPr>
            <w:bookmarkStart w:id="57" w:name="P023280"/>
            <w:bookmarkEnd w:id="57"/>
            <w:proofErr w:type="spellStart"/>
            <w:r w:rsidRPr="008F0639">
              <w:rPr>
                <w:rFonts w:ascii="Times New Roman" w:eastAsia="Times New Roman" w:hAnsi="Times New Roman" w:cs="Times New Roman"/>
                <w:sz w:val="24"/>
                <w:szCs w:val="24"/>
              </w:rPr>
              <w:t>Pentoxifylline</w:t>
            </w:r>
            <w:proofErr w:type="spellEnd"/>
            <w:r w:rsidRPr="008F0639">
              <w:rPr>
                <w:rFonts w:ascii="Times New Roman" w:eastAsia="Times New Roman" w:hAnsi="Times New Roman" w:cs="Times New Roman"/>
                <w:sz w:val="24"/>
                <w:szCs w:val="24"/>
              </w:rPr>
              <w:t xml:space="preserve">, which has a weak anti-TNF action, may be beneficial in severe alcoholic hepatitis. It appears to reduce the incidence of </w:t>
            </w:r>
            <w:proofErr w:type="spellStart"/>
            <w:r w:rsidRPr="008F0639">
              <w:rPr>
                <w:rFonts w:ascii="Times New Roman" w:eastAsia="Times New Roman" w:hAnsi="Times New Roman" w:cs="Times New Roman"/>
                <w:sz w:val="24"/>
                <w:szCs w:val="24"/>
              </w:rPr>
              <w:t>hepatorenal</w:t>
            </w:r>
            <w:proofErr w:type="spellEnd"/>
            <w:r w:rsidRPr="008F0639">
              <w:rPr>
                <w:rFonts w:ascii="Times New Roman" w:eastAsia="Times New Roman" w:hAnsi="Times New Roman" w:cs="Times New Roman"/>
                <w:sz w:val="24"/>
                <w:szCs w:val="24"/>
              </w:rPr>
              <w:t xml:space="preserve"> failure and its use is not complicated by sepsis </w:t>
            </w:r>
            <w:r w:rsidR="005B4185">
              <w:rPr>
                <w:rFonts w:ascii="Times New Roman" w:eastAsia="Times New Roman" w:hAnsi="Times New Roman" w:cs="Times New Roman"/>
                <w:sz w:val="24"/>
                <w:szCs w:val="24"/>
              </w:rPr>
              <w:t>.</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color w:val="00B050"/>
                <w:sz w:val="24"/>
                <w:szCs w:val="24"/>
              </w:rPr>
            </w:pPr>
            <w:bookmarkStart w:id="58" w:name="HC023156"/>
            <w:bookmarkEnd w:id="58"/>
            <w:r w:rsidRPr="008F0639">
              <w:rPr>
                <w:rFonts w:ascii="Times New Roman" w:eastAsia="Times New Roman" w:hAnsi="Times New Roman" w:cs="Times New Roman"/>
                <w:color w:val="00B050"/>
                <w:sz w:val="24"/>
                <w:szCs w:val="24"/>
              </w:rPr>
              <w:t xml:space="preserve">Liver transplantation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59" w:name="P023281"/>
            <w:bookmarkEnd w:id="59"/>
            <w:r w:rsidRPr="008F0639">
              <w:rPr>
                <w:rFonts w:ascii="Times New Roman" w:eastAsia="Times New Roman" w:hAnsi="Times New Roman" w:cs="Times New Roman"/>
                <w:sz w:val="24"/>
                <w:szCs w:val="24"/>
              </w:rPr>
              <w:t xml:space="preserve">The role of liver transplantation in the management of alcoholic liver disease remains controversial. In many </w:t>
            </w:r>
            <w:proofErr w:type="spellStart"/>
            <w:r w:rsidRPr="008F0639">
              <w:rPr>
                <w:rFonts w:ascii="Times New Roman" w:eastAsia="Times New Roman" w:hAnsi="Times New Roman" w:cs="Times New Roman"/>
                <w:sz w:val="24"/>
                <w:szCs w:val="24"/>
              </w:rPr>
              <w:t>centres</w:t>
            </w:r>
            <w:proofErr w:type="spellEnd"/>
            <w:r w:rsidRPr="008F0639">
              <w:rPr>
                <w:rFonts w:ascii="Times New Roman" w:eastAsia="Times New Roman" w:hAnsi="Times New Roman" w:cs="Times New Roman"/>
                <w:sz w:val="24"/>
                <w:szCs w:val="24"/>
              </w:rPr>
              <w:t xml:space="preserve">, however, alcoholic liver disease is a common indication for liver transplantation. The challenge is to identify patients with an unacceptable risk of returning to harmful alcohol consumption. Many </w:t>
            </w:r>
            <w:proofErr w:type="spellStart"/>
            <w:r w:rsidRPr="008F0639">
              <w:rPr>
                <w:rFonts w:ascii="Times New Roman" w:eastAsia="Times New Roman" w:hAnsi="Times New Roman" w:cs="Times New Roman"/>
                <w:sz w:val="24"/>
                <w:szCs w:val="24"/>
              </w:rPr>
              <w:t>programmes</w:t>
            </w:r>
            <w:proofErr w:type="spellEnd"/>
            <w:r w:rsidRPr="008F0639">
              <w:rPr>
                <w:rFonts w:ascii="Times New Roman" w:eastAsia="Times New Roman" w:hAnsi="Times New Roman" w:cs="Times New Roman"/>
                <w:sz w:val="24"/>
                <w:szCs w:val="24"/>
              </w:rPr>
              <w:t xml:space="preserve"> require a 6-month period of abstinence from alcohol before a patient is considered for transplantation. Although this relates poorly to the incidence of alcohol relapse after transplantation, liver function may improve to the extent that transplantation is no longer necessary. The outcome of transplantation for alcoholic liver disease is good (if the patient remains abstinent) because patients often require minimal </w:t>
            </w:r>
            <w:proofErr w:type="spellStart"/>
            <w:r w:rsidRPr="008F0639">
              <w:rPr>
                <w:rFonts w:ascii="Times New Roman" w:eastAsia="Times New Roman" w:hAnsi="Times New Roman" w:cs="Times New Roman"/>
                <w:sz w:val="24"/>
                <w:szCs w:val="24"/>
              </w:rPr>
              <w:t>immunosuppression</w:t>
            </w:r>
            <w:proofErr w:type="spellEnd"/>
            <w:r w:rsidRPr="008F0639">
              <w:rPr>
                <w:rFonts w:ascii="Times New Roman" w:eastAsia="Times New Roman" w:hAnsi="Times New Roman" w:cs="Times New Roman"/>
                <w:sz w:val="24"/>
                <w:szCs w:val="24"/>
              </w:rPr>
              <w:t xml:space="preserve"> and there is no risk of disease recurrence. Transplantation for alcoholic hepatitis has a poorer outcome than for complications of alcoholic cirrhosis.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60" w:name="HC023157"/>
            <w:bookmarkEnd w:id="60"/>
            <w:r w:rsidRPr="008F0639">
              <w:rPr>
                <w:rFonts w:ascii="Times New Roman" w:eastAsia="Times New Roman" w:hAnsi="Times New Roman" w:cs="Times New Roman"/>
                <w:sz w:val="24"/>
                <w:szCs w:val="24"/>
                <w:highlight w:val="yellow"/>
              </w:rPr>
              <w:t>Prognosis</w:t>
            </w:r>
            <w:r w:rsidRPr="008F0639">
              <w:rPr>
                <w:rFonts w:ascii="Times New Roman" w:eastAsia="Times New Roman" w:hAnsi="Times New Roman" w:cs="Times New Roman"/>
                <w:sz w:val="24"/>
                <w:szCs w:val="24"/>
              </w:rPr>
              <w:t xml:space="preserv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61" w:name="P023282"/>
            <w:bookmarkEnd w:id="61"/>
            <w:r w:rsidRPr="008F0639">
              <w:rPr>
                <w:rFonts w:ascii="Times New Roman" w:eastAsia="Times New Roman" w:hAnsi="Times New Roman" w:cs="Times New Roman"/>
                <w:sz w:val="24"/>
                <w:szCs w:val="24"/>
              </w:rPr>
              <w:t xml:space="preserve">The most important prognostic factor is the patient's ability to stop drinking alcohol. General health and life expectancy are improved when this occurs, irrespective of the form of alcoholic liver disease.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color w:val="00B050"/>
                <w:sz w:val="24"/>
                <w:szCs w:val="24"/>
              </w:rPr>
            </w:pPr>
            <w:bookmarkStart w:id="62" w:name="HC023158"/>
            <w:bookmarkEnd w:id="62"/>
            <w:r w:rsidRPr="008F0639">
              <w:rPr>
                <w:rFonts w:ascii="Times New Roman" w:eastAsia="Times New Roman" w:hAnsi="Times New Roman" w:cs="Times New Roman"/>
                <w:color w:val="00B050"/>
                <w:sz w:val="24"/>
                <w:szCs w:val="24"/>
              </w:rPr>
              <w:t xml:space="preserve">Alcoholic fatty liver disease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63" w:name="P023283"/>
            <w:bookmarkEnd w:id="63"/>
            <w:r w:rsidRPr="008F0639">
              <w:rPr>
                <w:rFonts w:ascii="Times New Roman" w:eastAsia="Times New Roman" w:hAnsi="Times New Roman" w:cs="Times New Roman"/>
                <w:sz w:val="24"/>
                <w:szCs w:val="24"/>
              </w:rPr>
              <w:t xml:space="preserve">This has a good prognosis and </w:t>
            </w:r>
            <w:proofErr w:type="spellStart"/>
            <w:r w:rsidRPr="008F0639">
              <w:rPr>
                <w:rFonts w:ascii="Times New Roman" w:eastAsia="Times New Roman" w:hAnsi="Times New Roman" w:cs="Times New Roman"/>
                <w:sz w:val="24"/>
                <w:szCs w:val="24"/>
              </w:rPr>
              <w:t>steatosis</w:t>
            </w:r>
            <w:proofErr w:type="spellEnd"/>
            <w:r w:rsidRPr="008F0639">
              <w:rPr>
                <w:rFonts w:ascii="Times New Roman" w:eastAsia="Times New Roman" w:hAnsi="Times New Roman" w:cs="Times New Roman"/>
                <w:sz w:val="24"/>
                <w:szCs w:val="24"/>
              </w:rPr>
              <w:t xml:space="preserve"> usually disappears after 3 months of abstinence.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color w:val="00B050"/>
                <w:sz w:val="24"/>
                <w:szCs w:val="24"/>
              </w:rPr>
            </w:pPr>
            <w:bookmarkStart w:id="64" w:name="HC023159"/>
            <w:bookmarkEnd w:id="64"/>
            <w:r w:rsidRPr="008F0639">
              <w:rPr>
                <w:rFonts w:ascii="Times New Roman" w:eastAsia="Times New Roman" w:hAnsi="Times New Roman" w:cs="Times New Roman"/>
                <w:color w:val="00B050"/>
                <w:sz w:val="24"/>
                <w:szCs w:val="24"/>
              </w:rPr>
              <w:t xml:space="preserve">Alcoholic hepatitis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sz w:val="24"/>
                <w:szCs w:val="24"/>
              </w:rPr>
            </w:pPr>
            <w:bookmarkStart w:id="65" w:name="P023284"/>
            <w:bookmarkEnd w:id="65"/>
            <w:r w:rsidRPr="008F0639">
              <w:rPr>
                <w:rFonts w:ascii="Times New Roman" w:eastAsia="Times New Roman" w:hAnsi="Times New Roman" w:cs="Times New Roman"/>
                <w:sz w:val="24"/>
                <w:szCs w:val="24"/>
              </w:rPr>
              <w:t xml:space="preserve">This has a significantly worse prognosis. About one-third of patients die in the acute episode, particularly those with hepatic encephalopathy or a </w:t>
            </w:r>
            <w:proofErr w:type="spellStart"/>
            <w:r w:rsidRPr="008F0639">
              <w:rPr>
                <w:rFonts w:ascii="Times New Roman" w:eastAsia="Times New Roman" w:hAnsi="Times New Roman" w:cs="Times New Roman"/>
                <w:sz w:val="24"/>
                <w:szCs w:val="24"/>
              </w:rPr>
              <w:t>prothrombin</w:t>
            </w:r>
            <w:proofErr w:type="spellEnd"/>
            <w:r w:rsidRPr="008F0639">
              <w:rPr>
                <w:rFonts w:ascii="Times New Roman" w:eastAsia="Times New Roman" w:hAnsi="Times New Roman" w:cs="Times New Roman"/>
                <w:sz w:val="24"/>
                <w:szCs w:val="24"/>
              </w:rPr>
              <w:t xml:space="preserve"> time sufficiently prolonged to exclude a </w:t>
            </w:r>
            <w:proofErr w:type="spellStart"/>
            <w:r w:rsidRPr="008F0639">
              <w:rPr>
                <w:rFonts w:ascii="Times New Roman" w:eastAsia="Times New Roman" w:hAnsi="Times New Roman" w:cs="Times New Roman"/>
                <w:sz w:val="24"/>
                <w:szCs w:val="24"/>
              </w:rPr>
              <w:t>percutaneous</w:t>
            </w:r>
            <w:proofErr w:type="spellEnd"/>
            <w:r w:rsidRPr="008F0639">
              <w:rPr>
                <w:rFonts w:ascii="Times New Roman" w:eastAsia="Times New Roman" w:hAnsi="Times New Roman" w:cs="Times New Roman"/>
                <w:sz w:val="24"/>
                <w:szCs w:val="24"/>
              </w:rPr>
              <w:t xml:space="preserve"> liver biopsy. Cirrhosis, if not already present, will occur if drinking continues. Patients with acute alcoholic hepatitis often deteriorate during the first 1-3 weeks in hospital. Even if they abstain, it may take up to 6 months for jaundice to resolve. In patients presenting with jaundice who subsequently abstain, the 3- and 5-year survival is 70%. In contrast, those who continue to drink have 3- and 5-year survival rates of 60% and 34% respectively.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8F0639" w:rsidRPr="008F0639" w:rsidRDefault="008F0639" w:rsidP="008F0639">
            <w:pPr>
              <w:spacing w:after="0" w:line="240" w:lineRule="auto"/>
              <w:rPr>
                <w:rFonts w:ascii="Times New Roman" w:eastAsia="Times New Roman" w:hAnsi="Times New Roman" w:cs="Times New Roman"/>
                <w:color w:val="00B050"/>
                <w:sz w:val="24"/>
                <w:szCs w:val="24"/>
              </w:rPr>
            </w:pPr>
            <w:bookmarkStart w:id="66" w:name="HC023160"/>
            <w:bookmarkEnd w:id="66"/>
            <w:r w:rsidRPr="008F0639">
              <w:rPr>
                <w:rFonts w:ascii="Times New Roman" w:eastAsia="Times New Roman" w:hAnsi="Times New Roman" w:cs="Times New Roman"/>
                <w:color w:val="00B050"/>
                <w:sz w:val="24"/>
                <w:szCs w:val="24"/>
              </w:rPr>
              <w:t xml:space="preserve">Alcoholic cirrhosis </w:t>
            </w:r>
          </w:p>
        </w:tc>
      </w:tr>
    </w:tbl>
    <w:p w:rsidR="008F0639" w:rsidRPr="008F0639" w:rsidRDefault="008F0639" w:rsidP="008F0639">
      <w:pPr>
        <w:spacing w:after="0" w:line="240" w:lineRule="auto"/>
        <w:rPr>
          <w:rFonts w:ascii="Times New Roman" w:eastAsia="Times New Roman" w:hAnsi="Times New Roman" w:cs="Times New Roman"/>
          <w:vanish/>
          <w:sz w:val="24"/>
          <w:szCs w:val="24"/>
        </w:rPr>
      </w:pPr>
    </w:p>
    <w:tbl>
      <w:tblPr>
        <w:tblW w:w="5000" w:type="pct"/>
        <w:tblCellSpacing w:w="0" w:type="dxa"/>
        <w:tblCellMar>
          <w:left w:w="0" w:type="dxa"/>
          <w:right w:w="0" w:type="dxa"/>
        </w:tblCellMar>
        <w:tblLook w:val="04A0"/>
      </w:tblPr>
      <w:tblGrid>
        <w:gridCol w:w="8640"/>
      </w:tblGrid>
      <w:tr w:rsidR="008F0639" w:rsidRPr="008F0639" w:rsidTr="008F0639">
        <w:trPr>
          <w:tblCellSpacing w:w="0" w:type="dxa"/>
        </w:trPr>
        <w:tc>
          <w:tcPr>
            <w:tcW w:w="5000" w:type="pct"/>
            <w:shd w:val="clear" w:color="auto" w:fill="FFFFFF"/>
            <w:vAlign w:val="center"/>
            <w:hideMark/>
          </w:tcPr>
          <w:p w:rsidR="00495082" w:rsidRDefault="008F0639" w:rsidP="008F0639">
            <w:pPr>
              <w:spacing w:after="0" w:line="240" w:lineRule="auto"/>
              <w:rPr>
                <w:rFonts w:ascii="Times New Roman" w:eastAsia="Times New Roman" w:hAnsi="Times New Roman" w:cs="Times New Roman"/>
                <w:sz w:val="24"/>
                <w:szCs w:val="24"/>
              </w:rPr>
            </w:pPr>
            <w:bookmarkStart w:id="67" w:name="P023285"/>
            <w:bookmarkEnd w:id="67"/>
            <w:r w:rsidRPr="008F0639">
              <w:rPr>
                <w:rFonts w:ascii="Times New Roman" w:eastAsia="Times New Roman" w:hAnsi="Times New Roman" w:cs="Times New Roman"/>
                <w:sz w:val="24"/>
                <w:szCs w:val="24"/>
              </w:rPr>
              <w:t xml:space="preserve">This often presents with a serious complication such as </w:t>
            </w:r>
            <w:proofErr w:type="spellStart"/>
            <w:r w:rsidRPr="008F0639">
              <w:rPr>
                <w:rFonts w:ascii="Times New Roman" w:eastAsia="Times New Roman" w:hAnsi="Times New Roman" w:cs="Times New Roman"/>
                <w:sz w:val="24"/>
                <w:szCs w:val="24"/>
              </w:rPr>
              <w:t>variceal</w:t>
            </w:r>
            <w:proofErr w:type="spellEnd"/>
            <w:r w:rsidRPr="008F0639">
              <w:rPr>
                <w:rFonts w:ascii="Times New Roman" w:eastAsia="Times New Roman" w:hAnsi="Times New Roman" w:cs="Times New Roman"/>
                <w:sz w:val="24"/>
                <w:szCs w:val="24"/>
              </w:rPr>
              <w:t xml:space="preserve"> </w:t>
            </w:r>
            <w:proofErr w:type="spellStart"/>
            <w:r w:rsidRPr="008F0639">
              <w:rPr>
                <w:rFonts w:ascii="Times New Roman" w:eastAsia="Times New Roman" w:hAnsi="Times New Roman" w:cs="Times New Roman"/>
                <w:sz w:val="24"/>
                <w:szCs w:val="24"/>
              </w:rPr>
              <w:t>haemorrhage</w:t>
            </w:r>
            <w:proofErr w:type="spellEnd"/>
            <w:r w:rsidRPr="008F0639">
              <w:rPr>
                <w:rFonts w:ascii="Times New Roman" w:eastAsia="Times New Roman" w:hAnsi="Times New Roman" w:cs="Times New Roman"/>
                <w:sz w:val="24"/>
                <w:szCs w:val="24"/>
              </w:rPr>
              <w:t xml:space="preserve"> or </w:t>
            </w:r>
            <w:proofErr w:type="spellStart"/>
            <w:r w:rsidRPr="008F0639">
              <w:rPr>
                <w:rFonts w:ascii="Times New Roman" w:eastAsia="Times New Roman" w:hAnsi="Times New Roman" w:cs="Times New Roman"/>
                <w:sz w:val="24"/>
                <w:szCs w:val="24"/>
              </w:rPr>
              <w:t>ascites</w:t>
            </w:r>
            <w:proofErr w:type="spellEnd"/>
            <w:r w:rsidRPr="008F0639">
              <w:rPr>
                <w:rFonts w:ascii="Times New Roman" w:eastAsia="Times New Roman" w:hAnsi="Times New Roman" w:cs="Times New Roman"/>
                <w:sz w:val="24"/>
                <w:szCs w:val="24"/>
              </w:rPr>
              <w:t>, and only half of such patients will survive 5 years from presentation. However, most who survive the initial illness and who become abstinent will survive beyond 5 years</w:t>
            </w:r>
            <w:r w:rsidR="00495082">
              <w:rPr>
                <w:rFonts w:ascii="Times New Roman" w:eastAsia="Times New Roman" w:hAnsi="Times New Roman" w:cs="Times New Roman"/>
                <w:sz w:val="24"/>
                <w:szCs w:val="24"/>
              </w:rPr>
              <w:t>.</w:t>
            </w: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Pr="00495082" w:rsidRDefault="00495082">
                  <w:pPr>
                    <w:rPr>
                      <w:color w:val="FF0000"/>
                      <w:sz w:val="28"/>
                      <w:szCs w:val="28"/>
                    </w:rPr>
                  </w:pPr>
                  <w:bookmarkStart w:id="68" w:name="HC023161"/>
                  <w:bookmarkEnd w:id="68"/>
                  <w:r w:rsidRPr="00495082">
                    <w:rPr>
                      <w:color w:val="FF0000"/>
                      <w:sz w:val="28"/>
                      <w:szCs w:val="28"/>
                    </w:rPr>
                    <w:t xml:space="preserve">NON-ALCOHOLIC FATTY LIVER DISEASE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69" w:name="P023286"/>
                  <w:bookmarkEnd w:id="69"/>
                  <w:r>
                    <w:t xml:space="preserve">Non-alcoholic fatty liver disease (NAFLD) is a disease of affluent societies and its prevalence is increasing in proportion to the rise in obesity. It has become the most common cause of chronic liver disease after hepatitis B, hepatitis C and alcohol. It can be classified into simple fatty liver disease (or non-alcoholic fatty liver, NAFL) and non-alcoholic </w:t>
                  </w:r>
                  <w:proofErr w:type="spellStart"/>
                  <w:r>
                    <w:t>steatohepatitis</w:t>
                  </w:r>
                  <w:proofErr w:type="spellEnd"/>
                  <w:r>
                    <w:t xml:space="preserve"> (NASH). The former has a benign prognosis but the latter is associated with fibrosis and progression to cirrhosis.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70" w:name="HC023164"/>
                  <w:bookmarkEnd w:id="70"/>
                  <w:r w:rsidRPr="00495082">
                    <w:rPr>
                      <w:highlight w:val="yellow"/>
                    </w:rPr>
                    <w:t>Epidemiology</w:t>
                  </w:r>
                  <w:r>
                    <w:t xml:space="preserv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rsidP="00495082">
                  <w:pPr>
                    <w:rPr>
                      <w:sz w:val="24"/>
                      <w:szCs w:val="24"/>
                    </w:rPr>
                  </w:pPr>
                  <w:bookmarkStart w:id="71" w:name="P023287"/>
                  <w:bookmarkEnd w:id="71"/>
                  <w:r>
                    <w:t xml:space="preserve">NAFLD affects about 3% of the population in the USA. The prevalence is higher in those with diabetes and those with the metabolic syndrome. Rare causes of NAFLD include </w:t>
                  </w:r>
                  <w:proofErr w:type="spellStart"/>
                  <w:r>
                    <w:t>tamoxifen</w:t>
                  </w:r>
                  <w:proofErr w:type="spellEnd"/>
                  <w:r>
                    <w:t xml:space="preserve">, </w:t>
                  </w:r>
                  <w:proofErr w:type="spellStart"/>
                  <w:r>
                    <w:t>amiodarone</w:t>
                  </w:r>
                  <w:proofErr w:type="spellEnd"/>
                  <w:r>
                    <w:t xml:space="preserve"> and exposure to certain petrochemicals. NAFLD has also been reported following weight-reducing </w:t>
                  </w:r>
                  <w:proofErr w:type="spellStart"/>
                  <w:r>
                    <w:t>jejenal</w:t>
                  </w:r>
                  <w:proofErr w:type="spellEnd"/>
                  <w:r>
                    <w:t xml:space="preserve"> bypass surgery. Many cases of cirrhosis that were previously </w:t>
                  </w:r>
                  <w:proofErr w:type="spellStart"/>
                  <w:r>
                    <w:t>labelled</w:t>
                  </w:r>
                  <w:proofErr w:type="spellEnd"/>
                  <w:r>
                    <w:t xml:space="preserve"> crypto-</w:t>
                  </w:r>
                  <w:proofErr w:type="spellStart"/>
                  <w:r>
                    <w:t>genic</w:t>
                  </w:r>
                  <w:proofErr w:type="spellEnd"/>
                  <w:r>
                    <w:t xml:space="preserve"> (i.e. cause unknown) are now thought to be due to NAFLD.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72" w:name="HC023165"/>
                  <w:bookmarkEnd w:id="72"/>
                  <w:proofErr w:type="spellStart"/>
                  <w:r w:rsidRPr="00495082">
                    <w:rPr>
                      <w:highlight w:val="yellow"/>
                    </w:rPr>
                    <w:t>Aetiology</w:t>
                  </w:r>
                  <w:proofErr w:type="spellEnd"/>
                  <w:r w:rsidRPr="00495082">
                    <w:rPr>
                      <w:highlight w:val="yellow"/>
                    </w:rPr>
                    <w:t xml:space="preserve"> and pathogenesis</w:t>
                  </w:r>
                  <w:r>
                    <w:t xml:space="preserv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rsidP="00495082">
                  <w:pPr>
                    <w:rPr>
                      <w:sz w:val="24"/>
                      <w:szCs w:val="24"/>
                    </w:rPr>
                  </w:pPr>
                  <w:bookmarkStart w:id="73" w:name="P023288"/>
                  <w:bookmarkEnd w:id="73"/>
                  <w:r>
                    <w:t xml:space="preserve">Most individuals with NAFLD have insulin resistance but not necessarily overt glucose intolerance. The current two-hit hypothesis explains why not everyone with fatty liver disease develops hepatic fibrosis. The 'first hit' results in </w:t>
                  </w:r>
                  <w:proofErr w:type="spellStart"/>
                  <w:r>
                    <w:t>steatosis</w:t>
                  </w:r>
                  <w:proofErr w:type="spellEnd"/>
                  <w:r>
                    <w:t xml:space="preserve"> (fatty liver), which is only complicated by inflammation if a 'second hit occurs'. </w:t>
                  </w:r>
                  <w:proofErr w:type="spellStart"/>
                  <w:r>
                    <w:t>Leptin</w:t>
                  </w:r>
                  <w:proofErr w:type="spellEnd"/>
                  <w:r>
                    <w:t xml:space="preserve"> is probably then needed to cause hepatic fibrosis.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Pr="00495082" w:rsidRDefault="00495082">
                  <w:pPr>
                    <w:rPr>
                      <w:sz w:val="24"/>
                      <w:szCs w:val="24"/>
                      <w:highlight w:val="yellow"/>
                    </w:rPr>
                  </w:pPr>
                  <w:bookmarkStart w:id="74" w:name="HC023166"/>
                  <w:bookmarkEnd w:id="74"/>
                  <w:r w:rsidRPr="00495082">
                    <w:rPr>
                      <w:highlight w:val="yellow"/>
                    </w:rPr>
                    <w:t xml:space="preserve">Clinical features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75" w:name="P023289"/>
                  <w:bookmarkEnd w:id="75"/>
                  <w:r>
                    <w:t xml:space="preserve">Most patients present with asymptomatic abnormal LFTs, particularly elevation of the </w:t>
                  </w:r>
                  <w:proofErr w:type="spellStart"/>
                  <w:r>
                    <w:t>transaminases</w:t>
                  </w:r>
                  <w:proofErr w:type="spellEnd"/>
                  <w:r>
                    <w:t xml:space="preserve"> or isolated elevation of the GGT. Occasionally, the condition presents with a complication of cirrhosis such as </w:t>
                  </w:r>
                  <w:proofErr w:type="spellStart"/>
                  <w:r>
                    <w:t>variceal</w:t>
                  </w:r>
                  <w:proofErr w:type="spellEnd"/>
                  <w:r>
                    <w:t xml:space="preserve"> </w:t>
                  </w:r>
                  <w:proofErr w:type="spellStart"/>
                  <w:r>
                    <w:t>haemorrhage</w:t>
                  </w:r>
                  <w:proofErr w:type="spellEnd"/>
                  <w:r>
                    <w:t xml:space="preserve"> or </w:t>
                  </w:r>
                  <w:proofErr w:type="spellStart"/>
                  <w:r>
                    <w:t>hepatocellular</w:t>
                  </w:r>
                  <w:proofErr w:type="spellEnd"/>
                  <w:r>
                    <w:t xml:space="preserve"> carcinoma. In contrast to alcoholic liver disease, jaundice only occurs when cirrhosis is established. NAFLD is the most likely diagnosis in a patient with elevated serum </w:t>
                  </w:r>
                  <w:proofErr w:type="spellStart"/>
                  <w:r>
                    <w:t>transaminases</w:t>
                  </w:r>
                  <w:proofErr w:type="spellEnd"/>
                  <w:r>
                    <w:t xml:space="preserve">, no history of alcohol abuse and a negative chronic liver disease screen.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vAlign w:val="center"/>
                  <w:hideMark/>
                </w:tcPr>
                <w:p w:rsidR="00495082" w:rsidRDefault="00495082">
                  <w:pPr>
                    <w:jc w:val="right"/>
                    <w:rPr>
                      <w:sz w:val="24"/>
                      <w:szCs w:val="24"/>
                    </w:rPr>
                  </w:pPr>
                </w:p>
              </w:tc>
            </w:tr>
            <w:tr w:rsidR="00495082">
              <w:trPr>
                <w:tblCellSpacing w:w="0" w:type="dxa"/>
              </w:trPr>
              <w:tc>
                <w:tcPr>
                  <w:tcW w:w="5000" w:type="pct"/>
                  <w:shd w:val="clear" w:color="auto" w:fill="EEEEEE"/>
                  <w:vAlign w:val="center"/>
                  <w:hideMark/>
                </w:tcPr>
                <w:p w:rsidR="00495082" w:rsidRDefault="00495082">
                  <w:pPr>
                    <w:jc w:val="right"/>
                    <w:rPr>
                      <w:sz w:val="24"/>
                      <w:szCs w:val="24"/>
                    </w:rPr>
                  </w:pPr>
                  <w:bookmarkStart w:id="76" w:name="P0972"/>
                  <w:bookmarkEnd w:id="76"/>
                </w:p>
              </w:tc>
            </w:tr>
            <w:tr w:rsidR="00495082">
              <w:trPr>
                <w:tblCellSpacing w:w="0" w:type="dxa"/>
              </w:trPr>
              <w:tc>
                <w:tcPr>
                  <w:tcW w:w="5000" w:type="pct"/>
                  <w:vAlign w:val="center"/>
                  <w:hideMark/>
                </w:tcPr>
                <w:p w:rsidR="00495082" w:rsidRDefault="00495082">
                  <w:pPr>
                    <w:jc w:val="right"/>
                    <w:rPr>
                      <w:sz w:val="24"/>
                      <w:szCs w:val="24"/>
                    </w:rPr>
                  </w:pP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77" w:name="F023030"/>
                  <w:bookmarkEnd w:id="77"/>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78" w:name="HC023167"/>
                  <w:bookmarkEnd w:id="78"/>
                  <w:r w:rsidRPr="00495082">
                    <w:rPr>
                      <w:highlight w:val="yellow"/>
                    </w:rPr>
                    <w:t>Investigations</w:t>
                  </w:r>
                  <w:r>
                    <w:t xml:space="preserv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rsidRPr="00495082">
              <w:trPr>
                <w:tblCellSpacing w:w="0" w:type="dxa"/>
              </w:trPr>
              <w:tc>
                <w:tcPr>
                  <w:tcW w:w="5000" w:type="pct"/>
                  <w:shd w:val="clear" w:color="auto" w:fill="FFFFFF"/>
                  <w:vAlign w:val="center"/>
                  <w:hideMark/>
                </w:tcPr>
                <w:p w:rsidR="00495082" w:rsidRPr="00495082" w:rsidRDefault="00495082">
                  <w:pPr>
                    <w:rPr>
                      <w:color w:val="00B050"/>
                      <w:sz w:val="24"/>
                      <w:szCs w:val="24"/>
                    </w:rPr>
                  </w:pPr>
                  <w:bookmarkStart w:id="79" w:name="HC023168"/>
                  <w:bookmarkEnd w:id="79"/>
                  <w:r w:rsidRPr="00495082">
                    <w:rPr>
                      <w:color w:val="00B050"/>
                    </w:rPr>
                    <w:t xml:space="preserve">Liver function tests </w:t>
                  </w:r>
                </w:p>
              </w:tc>
            </w:tr>
          </w:tbl>
          <w:p w:rsidR="00495082" w:rsidRPr="00495082" w:rsidRDefault="00495082" w:rsidP="00495082">
            <w:pPr>
              <w:rPr>
                <w:vanish/>
                <w:color w:val="00B050"/>
              </w:rPr>
            </w:pPr>
          </w:p>
          <w:p w:rsidR="00495082" w:rsidRPr="00495082" w:rsidRDefault="00495082" w:rsidP="00495082">
            <w:pPr>
              <w:rPr>
                <w:vanish/>
                <w:color w:val="00B050"/>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80" w:name="P023291"/>
                  <w:bookmarkEnd w:id="80"/>
                  <w:r>
                    <w:t xml:space="preserve">Unfortunately, there is no single diagnostic blood test; however, in contrast to alcoholic liver disease, the ALT is normally higher than the AST. Elevated alkaline </w:t>
                  </w:r>
                  <w:proofErr w:type="spellStart"/>
                  <w:r>
                    <w:t>phosphatase</w:t>
                  </w:r>
                  <w:proofErr w:type="spellEnd"/>
                  <w:r>
                    <w:t xml:space="preserve"> levels are seen in about 30% of cases. It is important to differentiate simple fatty liver disease (NAFL), which does not require follow-up, from NASH. Elevated serum </w:t>
                  </w:r>
                  <w:proofErr w:type="spellStart"/>
                  <w:r>
                    <w:t>transaminases</w:t>
                  </w:r>
                  <w:proofErr w:type="spellEnd"/>
                  <w:r>
                    <w:t xml:space="preserve"> greater than twice the upper limit of normal and the presence of the metabolic syndrome (</w:t>
                  </w:r>
                  <w:proofErr w:type="spellStart"/>
                  <w:r>
                    <w:t>hypertriglyceridaemia</w:t>
                  </w:r>
                  <w:proofErr w:type="spellEnd"/>
                  <w:r>
                    <w:t xml:space="preserve">, hypertension, diabetes mellitus, an elevated BMI &gt; 25 and especially </w:t>
                  </w:r>
                  <w:proofErr w:type="spellStart"/>
                  <w:r>
                    <w:t>truncal</w:t>
                  </w:r>
                  <w:proofErr w:type="spellEnd"/>
                  <w:r>
                    <w:t xml:space="preserve"> obesity) are useful predictors of NASH.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Pr="00495082" w:rsidRDefault="00495082">
                  <w:pPr>
                    <w:rPr>
                      <w:color w:val="00B050"/>
                      <w:sz w:val="24"/>
                      <w:szCs w:val="24"/>
                    </w:rPr>
                  </w:pPr>
                  <w:bookmarkStart w:id="81" w:name="HC023169"/>
                  <w:bookmarkEnd w:id="81"/>
                  <w:r w:rsidRPr="00495082">
                    <w:rPr>
                      <w:color w:val="00B050"/>
                    </w:rPr>
                    <w:t xml:space="preserve">Ultrasound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82" w:name="P023293"/>
                  <w:bookmarkEnd w:id="82"/>
                  <w:r>
                    <w:t xml:space="preserve">Ultrasound cannot differentiate simple fatty liver disease without fibrosis (NAFL) from NASH; in both cases the liver will appear bright on ultrasound.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Pr="00495082" w:rsidRDefault="00495082">
                  <w:pPr>
                    <w:rPr>
                      <w:color w:val="00B050"/>
                      <w:sz w:val="24"/>
                      <w:szCs w:val="24"/>
                    </w:rPr>
                  </w:pPr>
                  <w:bookmarkStart w:id="83" w:name="HC023170"/>
                  <w:bookmarkEnd w:id="83"/>
                  <w:r w:rsidRPr="00495082">
                    <w:rPr>
                      <w:color w:val="00B050"/>
                    </w:rPr>
                    <w:t xml:space="preserve">Liver biopsy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rsidP="00495082">
                  <w:pPr>
                    <w:rPr>
                      <w:sz w:val="24"/>
                      <w:szCs w:val="24"/>
                    </w:rPr>
                  </w:pPr>
                  <w:bookmarkStart w:id="84" w:name="P023294"/>
                  <w:bookmarkEnd w:id="84"/>
                  <w:r>
                    <w:t xml:space="preserve">Individuals with serum </w:t>
                  </w:r>
                  <w:proofErr w:type="spellStart"/>
                  <w:r>
                    <w:t>transaminases</w:t>
                  </w:r>
                  <w:proofErr w:type="spellEnd"/>
                  <w:r>
                    <w:t xml:space="preserve"> greater than twice the upper limit of normal and features of the metabolic syndrome should be offered a liver biopsy to determine whether inflammation and fibrosis are present. </w:t>
                  </w:r>
                  <w:proofErr w:type="spellStart"/>
                  <w:r>
                    <w:t>Histologically</w:t>
                  </w:r>
                  <w:proofErr w:type="spellEnd"/>
                  <w:r>
                    <w:t xml:space="preserve">, fat deposition is usually </w:t>
                  </w:r>
                  <w:proofErr w:type="spellStart"/>
                  <w:r>
                    <w:t>macrovesicular</w:t>
                  </w:r>
                  <w:proofErr w:type="spellEnd"/>
                  <w:r>
                    <w:t xml:space="preserve"> , in contrast to the </w:t>
                  </w:r>
                  <w:proofErr w:type="spellStart"/>
                  <w:r>
                    <w:t>microvesicular</w:t>
                  </w:r>
                  <w:proofErr w:type="spellEnd"/>
                  <w:r>
                    <w:t xml:space="preserve"> fat seen in acute fatty liver disease of pregnancy. NASH is </w:t>
                  </w:r>
                  <w:proofErr w:type="spellStart"/>
                  <w:r>
                    <w:t>characterised</w:t>
                  </w:r>
                  <w:proofErr w:type="spellEnd"/>
                  <w:r>
                    <w:t xml:space="preserve"> by fat, Mallory bodies, </w:t>
                  </w:r>
                  <w:proofErr w:type="spellStart"/>
                  <w:r>
                    <w:t>neutrophil</w:t>
                  </w:r>
                  <w:proofErr w:type="spellEnd"/>
                  <w:r>
                    <w:t xml:space="preserve"> infiltration and </w:t>
                  </w:r>
                  <w:proofErr w:type="spellStart"/>
                  <w:r>
                    <w:t>pericellular</w:t>
                  </w:r>
                  <w:proofErr w:type="spellEnd"/>
                  <w:r>
                    <w:t xml:space="preserve"> fibrosis. These features are indistinguishable </w:t>
                  </w:r>
                  <w:proofErr w:type="spellStart"/>
                  <w:r>
                    <w:t>histologically</w:t>
                  </w:r>
                  <w:proofErr w:type="spellEnd"/>
                  <w:r>
                    <w:t xml:space="preserve"> from alcoholic hepatitis, so a diagnosis of NASH relies on excluding alcohol misuse, the absence of jaundice, and the presence of risk factors such as obesity and diabetes. Fat often disappears by the time cirrhosis develops.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85" w:name="HC023171"/>
                  <w:bookmarkEnd w:id="85"/>
                  <w:r w:rsidRPr="00495082">
                    <w:rPr>
                      <w:highlight w:val="yellow"/>
                    </w:rPr>
                    <w:t>Management</w:t>
                  </w:r>
                  <w:r>
                    <w:t xml:space="preserv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vAlign w:val="center"/>
                  <w:hideMark/>
                </w:tcPr>
                <w:p w:rsidR="00495082" w:rsidRDefault="00495082">
                  <w:pPr>
                    <w:jc w:val="right"/>
                    <w:rPr>
                      <w:sz w:val="24"/>
                      <w:szCs w:val="24"/>
                    </w:rPr>
                  </w:pPr>
                </w:p>
              </w:tc>
            </w:tr>
            <w:tr w:rsidR="00495082">
              <w:trPr>
                <w:tblCellSpacing w:w="0" w:type="dxa"/>
              </w:trPr>
              <w:tc>
                <w:tcPr>
                  <w:tcW w:w="5000" w:type="pct"/>
                  <w:shd w:val="clear" w:color="auto" w:fill="EEEEEE"/>
                  <w:vAlign w:val="center"/>
                  <w:hideMark/>
                </w:tcPr>
                <w:p w:rsidR="00495082" w:rsidRDefault="00495082">
                  <w:pPr>
                    <w:jc w:val="right"/>
                    <w:rPr>
                      <w:sz w:val="24"/>
                      <w:szCs w:val="24"/>
                    </w:rPr>
                  </w:pPr>
                  <w:bookmarkStart w:id="86" w:name="P0973"/>
                  <w:bookmarkEnd w:id="86"/>
                </w:p>
              </w:tc>
            </w:tr>
            <w:tr w:rsidR="00495082">
              <w:trPr>
                <w:tblCellSpacing w:w="0" w:type="dxa"/>
              </w:trPr>
              <w:tc>
                <w:tcPr>
                  <w:tcW w:w="5000" w:type="pct"/>
                  <w:vAlign w:val="center"/>
                  <w:hideMark/>
                </w:tcPr>
                <w:p w:rsidR="00495082" w:rsidRDefault="00495082">
                  <w:pPr>
                    <w:jc w:val="right"/>
                    <w:rPr>
                      <w:sz w:val="24"/>
                      <w:szCs w:val="24"/>
                    </w:rPr>
                  </w:pP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87" w:name="P023295"/>
                  <w:bookmarkEnd w:id="87"/>
                  <w:r>
                    <w:t xml:space="preserve">Current treatments are aimed at reducing BMI and insulin resistance. </w:t>
                  </w:r>
                  <w:proofErr w:type="spellStart"/>
                  <w:r>
                    <w:t>Metformin</w:t>
                  </w:r>
                  <w:proofErr w:type="spellEnd"/>
                  <w:r>
                    <w:t xml:space="preserve"> has been shown to improve LFTs and should be the first-line treatment in type 2 diabetes with NAFLD. </w:t>
                  </w:r>
                  <w:proofErr w:type="spellStart"/>
                  <w:r>
                    <w:t>Thiazolidinediones</w:t>
                  </w:r>
                  <w:proofErr w:type="spellEnd"/>
                  <w:r>
                    <w:t xml:space="preserve"> such as </w:t>
                  </w:r>
                  <w:proofErr w:type="spellStart"/>
                  <w:r>
                    <w:t>pioglitazone</w:t>
                  </w:r>
                  <w:proofErr w:type="spellEnd"/>
                  <w:r>
                    <w:t xml:space="preserve"> also improve LFTs in NAFLD and early data suggest they may improve inflammation and fibrosis. Weight loss will also reduce serum </w:t>
                  </w:r>
                  <w:proofErr w:type="spellStart"/>
                  <w:r>
                    <w:t>transaminase</w:t>
                  </w:r>
                  <w:proofErr w:type="spellEnd"/>
                  <w:r>
                    <w:t xml:space="preserve"> levels, improve liver fibrosis and reduce insulin resistance. Antioxidants such as vitamin E are not effective. There is no rationale for using HMG </w:t>
                  </w:r>
                  <w:proofErr w:type="spellStart"/>
                  <w:r>
                    <w:t>CoA</w:t>
                  </w:r>
                  <w:proofErr w:type="spellEnd"/>
                  <w:r>
                    <w:t xml:space="preserve"> </w:t>
                  </w:r>
                  <w:proofErr w:type="spellStart"/>
                  <w:r>
                    <w:t>reductase</w:t>
                  </w:r>
                  <w:proofErr w:type="spellEnd"/>
                  <w:r>
                    <w:t xml:space="preserve"> inhibitors (</w:t>
                  </w:r>
                  <w:proofErr w:type="spellStart"/>
                  <w:r>
                    <w:t>statins</w:t>
                  </w:r>
                  <w:proofErr w:type="spellEnd"/>
                  <w:r>
                    <w:t xml:space="preserve">) in the treatment of NAFLD but they are not contraindicated for treatment of coexistent </w:t>
                  </w:r>
                  <w:proofErr w:type="spellStart"/>
                  <w:r>
                    <w:t>hyperlipidaemia</w:t>
                  </w:r>
                  <w:proofErr w:type="spellEnd"/>
                  <w:r>
                    <w:t xml:space="preserv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88" w:name="HC023172"/>
                  <w:bookmarkEnd w:id="88"/>
                  <w:r w:rsidRPr="00495082">
                    <w:rPr>
                      <w:highlight w:val="yellow"/>
                    </w:rPr>
                    <w:t>Prognosis</w:t>
                  </w:r>
                  <w:r>
                    <w:t xml:space="preserve">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495082" w:rsidRDefault="00495082">
                  <w:pPr>
                    <w:rPr>
                      <w:sz w:val="24"/>
                      <w:szCs w:val="24"/>
                    </w:rPr>
                  </w:pPr>
                  <w:bookmarkStart w:id="89" w:name="P023296"/>
                  <w:bookmarkEnd w:id="89"/>
                  <w:r>
                    <w:t xml:space="preserve">Once cirrhosis has occurred, survival is similar to that in hepatitis C cirrhosis with 5- and 10-year survival rates of 90% and 84% respectively. </w:t>
                  </w:r>
                  <w:proofErr w:type="spellStart"/>
                  <w:r>
                    <w:t>Hepatocellular</w:t>
                  </w:r>
                  <w:proofErr w:type="spellEnd"/>
                  <w:r>
                    <w:t xml:space="preserve"> carcinoma frequently complicates NAFLD cirrhosis. Although less than 5% of liver transplants are currently performed for NAFLD, this is likely to increase. Unfortunately, the condition may recur in the graft.</w:t>
                  </w:r>
                </w:p>
              </w:tc>
            </w:tr>
          </w:tbl>
          <w:p w:rsidR="00495082" w:rsidRPr="008F0639" w:rsidRDefault="00495082" w:rsidP="008F0639">
            <w:pPr>
              <w:spacing w:after="0" w:line="240" w:lineRule="auto"/>
              <w:rPr>
                <w:rFonts w:ascii="Times New Roman" w:eastAsia="Times New Roman" w:hAnsi="Times New Roman" w:cs="Times New Roman"/>
                <w:sz w:val="24"/>
                <w:szCs w:val="24"/>
              </w:rPr>
            </w:pPr>
          </w:p>
        </w:tc>
      </w:tr>
      <w:tr w:rsidR="00495082">
        <w:trPr>
          <w:tblCellSpacing w:w="0" w:type="dxa"/>
        </w:trPr>
        <w:tc>
          <w:tcPr>
            <w:tcW w:w="5000" w:type="pct"/>
            <w:shd w:val="clear" w:color="auto" w:fill="FFFFFF"/>
            <w:vAlign w:val="center"/>
            <w:hideMark/>
          </w:tcPr>
          <w:p w:rsidR="00495082" w:rsidRPr="00495082" w:rsidRDefault="00495082">
            <w:pPr>
              <w:rPr>
                <w:color w:val="FF0000"/>
                <w:sz w:val="28"/>
                <w:szCs w:val="28"/>
              </w:rPr>
            </w:pPr>
            <w:bookmarkStart w:id="90" w:name="HC023173"/>
            <w:bookmarkEnd w:id="90"/>
            <w:r w:rsidRPr="00495082">
              <w:rPr>
                <w:color w:val="FF0000"/>
                <w:sz w:val="28"/>
                <w:szCs w:val="28"/>
              </w:rPr>
              <w:t xml:space="preserve">DRUGS, TOXINS AND THE LIVER </w:t>
            </w:r>
          </w:p>
        </w:tc>
      </w:tr>
    </w:tbl>
    <w:p w:rsidR="00495082" w:rsidRDefault="00495082" w:rsidP="00495082">
      <w:pPr>
        <w:rPr>
          <w:vanish/>
        </w:rPr>
      </w:pPr>
    </w:p>
    <w:tbl>
      <w:tblPr>
        <w:tblW w:w="5000" w:type="pct"/>
        <w:tblCellSpacing w:w="0" w:type="dxa"/>
        <w:tblCellMar>
          <w:left w:w="0" w:type="dxa"/>
          <w:right w:w="0" w:type="dxa"/>
        </w:tblCellMar>
        <w:tblLook w:val="04A0"/>
      </w:tblPr>
      <w:tblGrid>
        <w:gridCol w:w="8640"/>
      </w:tblGrid>
      <w:tr w:rsidR="00495082">
        <w:trPr>
          <w:tblCellSpacing w:w="0" w:type="dxa"/>
        </w:trPr>
        <w:tc>
          <w:tcPr>
            <w:tcW w:w="5000" w:type="pct"/>
            <w:shd w:val="clear" w:color="auto" w:fill="FFFFFF"/>
            <w:vAlign w:val="center"/>
            <w:hideMark/>
          </w:tcPr>
          <w:p w:rsidR="005E6458" w:rsidRDefault="00495082" w:rsidP="00495082">
            <w:bookmarkStart w:id="91" w:name="P023297"/>
            <w:bookmarkEnd w:id="91"/>
            <w:r>
              <w:t xml:space="preserve">The liver is the primary site of drug metabolism. Liver disease may affect the capacity of the liver to </w:t>
            </w:r>
            <w:proofErr w:type="spellStart"/>
            <w:r>
              <w:t>metabolise</w:t>
            </w:r>
            <w:proofErr w:type="spellEnd"/>
            <w:r>
              <w:t xml:space="preserve"> drugs and unexpected toxicity may occur when patients with liver disease are given drugs in normal doses . </w:t>
            </w:r>
          </w:p>
          <w:tbl>
            <w:tblPr>
              <w:tblW w:w="4900" w:type="pct"/>
              <w:tblCellSpacing w:w="0" w:type="dxa"/>
              <w:tblCellMar>
                <w:top w:w="75" w:type="dxa"/>
                <w:left w:w="75" w:type="dxa"/>
                <w:bottom w:w="75" w:type="dxa"/>
                <w:right w:w="75" w:type="dxa"/>
              </w:tblCellMar>
              <w:tblLook w:val="04A0"/>
            </w:tblPr>
            <w:tblGrid>
              <w:gridCol w:w="8640"/>
            </w:tblGrid>
            <w:tr w:rsidR="005E6458" w:rsidTr="005E6458">
              <w:trPr>
                <w:tblCellSpacing w:w="0" w:type="dxa"/>
              </w:trPr>
              <w:tc>
                <w:tcPr>
                  <w:tcW w:w="0" w:type="auto"/>
                  <w:vAlign w:val="center"/>
                  <w:hideMark/>
                </w:tcPr>
                <w:tbl>
                  <w:tblPr>
                    <w:tblW w:w="5000" w:type="pct"/>
                    <w:tblCellSpacing w:w="0" w:type="dxa"/>
                    <w:tblCellMar>
                      <w:left w:w="0" w:type="dxa"/>
                      <w:right w:w="0" w:type="dxa"/>
                    </w:tblCellMar>
                    <w:tblLook w:val="04A0"/>
                  </w:tblPr>
                  <w:tblGrid>
                    <w:gridCol w:w="8490"/>
                  </w:tblGrid>
                  <w:tr w:rsidR="005E6458">
                    <w:trPr>
                      <w:tblCellSpacing w:w="0" w:type="dxa"/>
                    </w:trPr>
                    <w:tc>
                      <w:tcPr>
                        <w:tcW w:w="5000" w:type="pct"/>
                        <w:shd w:val="clear" w:color="auto" w:fill="FFFFFF"/>
                        <w:vAlign w:val="center"/>
                        <w:hideMark/>
                      </w:tcPr>
                      <w:p w:rsidR="005E6458" w:rsidRPr="005E6458" w:rsidRDefault="005E6458">
                        <w:pPr>
                          <w:rPr>
                            <w:color w:val="FF0000"/>
                            <w:sz w:val="24"/>
                            <w:szCs w:val="24"/>
                          </w:rPr>
                        </w:pPr>
                        <w:bookmarkStart w:id="92" w:name="HC023174"/>
                        <w:bookmarkEnd w:id="92"/>
                        <w:r w:rsidRPr="005E6458">
                          <w:rPr>
                            <w:color w:val="FF0000"/>
                          </w:rPr>
                          <w:t xml:space="preserve">HEPATOTOXIC DRUG REACTIONS </w:t>
                        </w:r>
                      </w:p>
                    </w:tc>
                  </w:tr>
                </w:tbl>
                <w:p w:rsidR="005E6458" w:rsidRDefault="005E6458">
                  <w:pPr>
                    <w:rPr>
                      <w:vanish/>
                    </w:rPr>
                  </w:pPr>
                </w:p>
                <w:tbl>
                  <w:tblPr>
                    <w:tblW w:w="8835" w:type="dxa"/>
                    <w:tblCellSpacing w:w="0" w:type="dxa"/>
                    <w:tblCellMar>
                      <w:left w:w="0" w:type="dxa"/>
                      <w:right w:w="0" w:type="dxa"/>
                    </w:tblCellMar>
                    <w:tblLook w:val="04A0"/>
                  </w:tblPr>
                  <w:tblGrid>
                    <w:gridCol w:w="8835"/>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93" w:name="P023298"/>
                        <w:bookmarkEnd w:id="93"/>
                        <w:r>
                          <w:t xml:space="preserve">Drug toxicity should be high in the differential diagnosis of acute liver failure, jaundice and abnormal liver biochemistry. Some typical patterns of drug toxicity are listed in </w:t>
                        </w:r>
                        <w:hyperlink r:id="rId5" w:anchor="B023050" w:tooltip="Go here now" w:history="1">
                          <w:r>
                            <w:rPr>
                              <w:rStyle w:val="Hyperlink"/>
                            </w:rPr>
                            <w:t>Box 23.50</w:t>
                          </w:r>
                        </w:hyperlink>
                        <w:r>
                          <w:t xml:space="preserve">; the most common picture is a mixed </w:t>
                        </w:r>
                        <w:proofErr w:type="spellStart"/>
                        <w:r>
                          <w:t>cholestatic</w:t>
                        </w:r>
                        <w:proofErr w:type="spellEnd"/>
                        <w:r>
                          <w:t xml:space="preserve"> hepatitis. The presence of jaundice indicates more severe liver damage. Although acute liver failure can occur, most drug reactions are acute and self-limiting; chronic liver damage is rare. LFTs often take weeks to return to normal following a drug-induced hepatitis and it may take months for them to </w:t>
                        </w:r>
                        <w:proofErr w:type="spellStart"/>
                        <w:r>
                          <w:t>normalise</w:t>
                        </w:r>
                        <w:proofErr w:type="spellEnd"/>
                        <w:r>
                          <w:t xml:space="preserve"> following a </w:t>
                        </w:r>
                        <w:proofErr w:type="spellStart"/>
                        <w:r>
                          <w:t>cholestatic</w:t>
                        </w:r>
                        <w:proofErr w:type="spellEnd"/>
                        <w:r>
                          <w:t xml:space="preserve"> hepatitis. Occasionally permanent bile duct loss (</w:t>
                        </w:r>
                        <w:proofErr w:type="spellStart"/>
                        <w:r>
                          <w:t>ductopenia</w:t>
                        </w:r>
                        <w:proofErr w:type="spellEnd"/>
                        <w:r>
                          <w:t xml:space="preserve">) follows a </w:t>
                        </w:r>
                        <w:proofErr w:type="spellStart"/>
                        <w:r>
                          <w:t>cholestatic</w:t>
                        </w:r>
                        <w:proofErr w:type="spellEnd"/>
                        <w:r>
                          <w:t xml:space="preserve"> drug reaction, such as that due to co-</w:t>
                        </w:r>
                        <w:proofErr w:type="spellStart"/>
                        <w:r>
                          <w:t>amoxiclav</w:t>
                        </w:r>
                        <w:proofErr w:type="spellEnd"/>
                        <w:r>
                          <w:t xml:space="preserve">, resulting in chronic </w:t>
                        </w:r>
                        <w:proofErr w:type="spellStart"/>
                        <w:r>
                          <w:t>cholestasis</w:t>
                        </w:r>
                        <w:proofErr w:type="spellEnd"/>
                        <w:r>
                          <w:t xml:space="preserve"> with persistent symptoms such as itching. </w:t>
                        </w:r>
                      </w:p>
                    </w:tc>
                  </w:tr>
                </w:tbl>
                <w:p w:rsidR="005E6458" w:rsidRDefault="005E6458">
                  <w:pPr>
                    <w:rPr>
                      <w:vanish/>
                    </w:rPr>
                  </w:pPr>
                </w:p>
                <w:tbl>
                  <w:tblPr>
                    <w:tblW w:w="4000" w:type="pct"/>
                    <w:jc w:val="center"/>
                    <w:tblCellSpacing w:w="0" w:type="dxa"/>
                    <w:tblCellMar>
                      <w:left w:w="0" w:type="dxa"/>
                      <w:right w:w="0" w:type="dxa"/>
                    </w:tblCellMar>
                    <w:tblLook w:val="04A0"/>
                  </w:tblPr>
                  <w:tblGrid>
                    <w:gridCol w:w="6792"/>
                  </w:tblGrid>
                  <w:tr w:rsidR="005E6458">
                    <w:trPr>
                      <w:tblCellSpacing w:w="0" w:type="dxa"/>
                      <w:jc w:val="center"/>
                    </w:trPr>
                    <w:tc>
                      <w:tcPr>
                        <w:tcW w:w="5000" w:type="pct"/>
                        <w:vAlign w:val="center"/>
                        <w:hideMark/>
                      </w:tcPr>
                      <w:p w:rsidR="005E6458" w:rsidRDefault="005E6458">
                        <w:pPr>
                          <w:rPr>
                            <w:sz w:val="24"/>
                            <w:szCs w:val="24"/>
                          </w:rPr>
                        </w:pPr>
                        <w:bookmarkStart w:id="94" w:name="B023050"/>
                        <w:bookmarkEnd w:id="94"/>
                        <w:r>
                          <w:t>23.50 EXAMPLES OF COMMON CAUSES OF DRUG-INDUCED HEPATOTOXICITY</w:t>
                        </w:r>
                      </w:p>
                    </w:tc>
                  </w:tr>
                </w:tbl>
                <w:p w:rsidR="005E6458" w:rsidRDefault="005E6458">
                  <w:pPr>
                    <w:rPr>
                      <w:vanish/>
                    </w:rPr>
                  </w:pPr>
                  <w:bookmarkStart w:id="95" w:name="TI023036"/>
                  <w:bookmarkEnd w:id="95"/>
                </w:p>
                <w:tbl>
                  <w:tblPr>
                    <w:tblW w:w="0" w:type="auto"/>
                    <w:jc w:val="center"/>
                    <w:tblCellSpacing w:w="0" w:type="dxa"/>
                    <w:tblCellMar>
                      <w:top w:w="15" w:type="dxa"/>
                      <w:left w:w="15" w:type="dxa"/>
                      <w:bottom w:w="15" w:type="dxa"/>
                      <w:right w:w="15" w:type="dxa"/>
                    </w:tblCellMar>
                    <w:tblLook w:val="04A0"/>
                  </w:tblPr>
                  <w:tblGrid>
                    <w:gridCol w:w="2720"/>
                    <w:gridCol w:w="1974"/>
                    <w:gridCol w:w="2780"/>
                  </w:tblGrid>
                  <w:tr w:rsidR="005E6458" w:rsidTr="005E6458">
                    <w:trPr>
                      <w:gridAfter w:val="1"/>
                      <w:wAfter w:w="2780" w:type="dxa"/>
                      <w:tblCellSpacing w:w="0" w:type="dxa"/>
                      <w:jc w:val="center"/>
                    </w:trPr>
                    <w:tc>
                      <w:tcPr>
                        <w:tcW w:w="0" w:type="auto"/>
                        <w:vAlign w:val="bottom"/>
                        <w:hideMark/>
                      </w:tcPr>
                      <w:p w:rsidR="005E6458" w:rsidRDefault="005E6458">
                        <w:pPr>
                          <w:rPr>
                            <w:sz w:val="24"/>
                            <w:szCs w:val="24"/>
                          </w:rPr>
                        </w:pPr>
                        <w:bookmarkStart w:id="96" w:name="TI023036.50"/>
                        <w:bookmarkEnd w:id="96"/>
                        <w:r>
                          <w:rPr>
                            <w:b/>
                            <w:bCs/>
                          </w:rPr>
                          <w:t>Pattern</w:t>
                        </w:r>
                      </w:p>
                    </w:tc>
                    <w:tc>
                      <w:tcPr>
                        <w:tcW w:w="0" w:type="auto"/>
                        <w:vAlign w:val="bottom"/>
                        <w:hideMark/>
                      </w:tcPr>
                      <w:p w:rsidR="005E6458" w:rsidRDefault="005E6458">
                        <w:pPr>
                          <w:rPr>
                            <w:sz w:val="24"/>
                            <w:szCs w:val="24"/>
                          </w:rPr>
                        </w:pPr>
                        <w:r>
                          <w:rPr>
                            <w:b/>
                            <w:bCs/>
                          </w:rPr>
                          <w:t>Drug</w:t>
                        </w:r>
                      </w:p>
                    </w:tc>
                  </w:tr>
                  <w:tr w:rsidR="005E6458" w:rsidTr="005E6458">
                    <w:trPr>
                      <w:gridAfter w:val="1"/>
                      <w:wAfter w:w="2780" w:type="dxa"/>
                      <w:tblCellSpacing w:w="0" w:type="dxa"/>
                      <w:jc w:val="center"/>
                    </w:trPr>
                    <w:tc>
                      <w:tcPr>
                        <w:tcW w:w="0" w:type="auto"/>
                        <w:shd w:val="clear" w:color="auto" w:fill="FFFFFF"/>
                        <w:hideMark/>
                      </w:tcPr>
                      <w:p w:rsidR="005E6458" w:rsidRDefault="005E6458">
                        <w:pPr>
                          <w:rPr>
                            <w:sz w:val="24"/>
                            <w:szCs w:val="24"/>
                          </w:rPr>
                        </w:pPr>
                        <w:bookmarkStart w:id="97" w:name="TI023036.100"/>
                        <w:bookmarkEnd w:id="97"/>
                        <w:proofErr w:type="spellStart"/>
                        <w:r>
                          <w:rPr>
                            <w:b/>
                            <w:bCs/>
                          </w:rPr>
                          <w:t>Cholestasis</w:t>
                        </w:r>
                        <w:proofErr w:type="spellEnd"/>
                      </w:p>
                    </w:tc>
                    <w:tc>
                      <w:tcPr>
                        <w:tcW w:w="0" w:type="auto"/>
                        <w:shd w:val="clear" w:color="auto" w:fill="FFFFFF"/>
                        <w:hideMark/>
                      </w:tcPr>
                      <w:p w:rsidR="005E6458" w:rsidRDefault="005E6458">
                        <w:pPr>
                          <w:rPr>
                            <w:sz w:val="24"/>
                            <w:szCs w:val="24"/>
                          </w:rPr>
                        </w:pPr>
                        <w:r>
                          <w:t>Chlorpromazine</w:t>
                        </w:r>
                        <w:r>
                          <w:br/>
                          <w:t xml:space="preserve">High-dose </w:t>
                        </w:r>
                        <w:proofErr w:type="spellStart"/>
                        <w:r>
                          <w:t>oestrogens</w:t>
                        </w:r>
                        <w:proofErr w:type="spellEnd"/>
                      </w:p>
                    </w:tc>
                  </w:tr>
                  <w:tr w:rsidR="005E6458" w:rsidTr="005E6458">
                    <w:trPr>
                      <w:tblCellSpacing w:w="0" w:type="dxa"/>
                      <w:jc w:val="center"/>
                    </w:trPr>
                    <w:tc>
                      <w:tcPr>
                        <w:tcW w:w="0" w:type="auto"/>
                        <w:shd w:val="clear" w:color="auto" w:fill="FFFFFF"/>
                        <w:hideMark/>
                      </w:tcPr>
                      <w:p w:rsidR="005E6458" w:rsidRDefault="005E6458">
                        <w:pPr>
                          <w:rPr>
                            <w:sz w:val="24"/>
                            <w:szCs w:val="24"/>
                          </w:rPr>
                        </w:pPr>
                        <w:bookmarkStart w:id="98" w:name="TI023036.150"/>
                        <w:bookmarkEnd w:id="98"/>
                        <w:proofErr w:type="spellStart"/>
                        <w:r>
                          <w:rPr>
                            <w:b/>
                            <w:bCs/>
                          </w:rPr>
                          <w:t>Cholestatic</w:t>
                        </w:r>
                        <w:proofErr w:type="spellEnd"/>
                        <w:r>
                          <w:rPr>
                            <w:b/>
                            <w:bCs/>
                          </w:rPr>
                          <w:t xml:space="preserve"> hepatitis</w:t>
                        </w:r>
                      </w:p>
                    </w:tc>
                    <w:tc>
                      <w:tcPr>
                        <w:tcW w:w="4754" w:type="dxa"/>
                        <w:gridSpan w:val="2"/>
                        <w:shd w:val="clear" w:color="auto" w:fill="FFFFFF"/>
                        <w:hideMark/>
                      </w:tcPr>
                      <w:p w:rsidR="005E6458" w:rsidRDefault="005E6458">
                        <w:pPr>
                          <w:rPr>
                            <w:sz w:val="24"/>
                            <w:szCs w:val="24"/>
                          </w:rPr>
                        </w:pPr>
                        <w:r>
                          <w:t>NSAIDs</w:t>
                        </w:r>
                        <w:r>
                          <w:br/>
                          <w:t>Co-</w:t>
                        </w:r>
                        <w:proofErr w:type="spellStart"/>
                        <w:r>
                          <w:t>amoxiclav</w:t>
                        </w:r>
                        <w:proofErr w:type="spellEnd"/>
                        <w:r>
                          <w:br/>
                        </w:r>
                        <w:proofErr w:type="spellStart"/>
                        <w:r>
                          <w:t>Statins</w:t>
                        </w:r>
                        <w:proofErr w:type="spellEnd"/>
                      </w:p>
                    </w:tc>
                  </w:tr>
                  <w:tr w:rsidR="005E6458" w:rsidTr="005E6458">
                    <w:trPr>
                      <w:gridAfter w:val="1"/>
                      <w:wAfter w:w="2780" w:type="dxa"/>
                      <w:tblCellSpacing w:w="0" w:type="dxa"/>
                      <w:jc w:val="center"/>
                    </w:trPr>
                    <w:tc>
                      <w:tcPr>
                        <w:tcW w:w="0" w:type="auto"/>
                        <w:shd w:val="clear" w:color="auto" w:fill="FFFFFF"/>
                        <w:hideMark/>
                      </w:tcPr>
                      <w:p w:rsidR="005E6458" w:rsidRDefault="005E6458">
                        <w:pPr>
                          <w:rPr>
                            <w:sz w:val="24"/>
                            <w:szCs w:val="24"/>
                          </w:rPr>
                        </w:pPr>
                        <w:bookmarkStart w:id="99" w:name="TI023036.200"/>
                        <w:bookmarkEnd w:id="99"/>
                        <w:r>
                          <w:rPr>
                            <w:b/>
                            <w:bCs/>
                          </w:rPr>
                          <w:t>Acute hepatitis</w:t>
                        </w:r>
                      </w:p>
                    </w:tc>
                    <w:tc>
                      <w:tcPr>
                        <w:tcW w:w="0" w:type="auto"/>
                        <w:shd w:val="clear" w:color="auto" w:fill="FFFFFF"/>
                        <w:hideMark/>
                      </w:tcPr>
                      <w:p w:rsidR="005E6458" w:rsidRDefault="005E6458">
                        <w:pPr>
                          <w:rPr>
                            <w:sz w:val="24"/>
                            <w:szCs w:val="24"/>
                          </w:rPr>
                        </w:pPr>
                        <w:proofErr w:type="spellStart"/>
                        <w:r>
                          <w:t>Rifampicin</w:t>
                        </w:r>
                        <w:proofErr w:type="spellEnd"/>
                        <w:r>
                          <w:br/>
                        </w:r>
                        <w:proofErr w:type="spellStart"/>
                        <w:r>
                          <w:t>Isoniazid</w:t>
                        </w:r>
                        <w:proofErr w:type="spellEnd"/>
                      </w:p>
                    </w:tc>
                  </w:tr>
                  <w:tr w:rsidR="005E6458" w:rsidTr="005E6458">
                    <w:trPr>
                      <w:gridAfter w:val="1"/>
                      <w:wAfter w:w="2780" w:type="dxa"/>
                      <w:tblCellSpacing w:w="0" w:type="dxa"/>
                      <w:jc w:val="center"/>
                    </w:trPr>
                    <w:tc>
                      <w:tcPr>
                        <w:tcW w:w="0" w:type="auto"/>
                        <w:shd w:val="clear" w:color="auto" w:fill="FFFFFF"/>
                        <w:hideMark/>
                      </w:tcPr>
                      <w:p w:rsidR="005E6458" w:rsidRDefault="005E6458">
                        <w:pPr>
                          <w:rPr>
                            <w:sz w:val="24"/>
                            <w:szCs w:val="24"/>
                          </w:rPr>
                        </w:pPr>
                        <w:bookmarkStart w:id="100" w:name="TI023036.250"/>
                        <w:bookmarkEnd w:id="100"/>
                        <w:r>
                          <w:rPr>
                            <w:b/>
                            <w:bCs/>
                          </w:rPr>
                          <w:t xml:space="preserve">Non-alcoholic </w:t>
                        </w:r>
                        <w:proofErr w:type="spellStart"/>
                        <w:r>
                          <w:rPr>
                            <w:b/>
                            <w:bCs/>
                          </w:rPr>
                          <w:t>steatohepatitis</w:t>
                        </w:r>
                        <w:proofErr w:type="spellEnd"/>
                      </w:p>
                    </w:tc>
                    <w:tc>
                      <w:tcPr>
                        <w:tcW w:w="0" w:type="auto"/>
                        <w:shd w:val="clear" w:color="auto" w:fill="FFFFFF"/>
                        <w:hideMark/>
                      </w:tcPr>
                      <w:p w:rsidR="005E6458" w:rsidRDefault="005E6458">
                        <w:pPr>
                          <w:rPr>
                            <w:sz w:val="24"/>
                            <w:szCs w:val="24"/>
                          </w:rPr>
                        </w:pPr>
                        <w:proofErr w:type="spellStart"/>
                        <w:r>
                          <w:t>Amiodarone</w:t>
                        </w:r>
                        <w:proofErr w:type="spellEnd"/>
                      </w:p>
                    </w:tc>
                  </w:tr>
                  <w:tr w:rsidR="005E6458" w:rsidTr="005E6458">
                    <w:trPr>
                      <w:gridAfter w:val="1"/>
                      <w:wAfter w:w="2780" w:type="dxa"/>
                      <w:tblCellSpacing w:w="0" w:type="dxa"/>
                      <w:jc w:val="center"/>
                    </w:trPr>
                    <w:tc>
                      <w:tcPr>
                        <w:tcW w:w="0" w:type="auto"/>
                        <w:shd w:val="clear" w:color="auto" w:fill="FFFFFF"/>
                        <w:hideMark/>
                      </w:tcPr>
                      <w:p w:rsidR="005E6458" w:rsidRDefault="005E6458">
                        <w:pPr>
                          <w:rPr>
                            <w:sz w:val="24"/>
                            <w:szCs w:val="24"/>
                          </w:rPr>
                        </w:pPr>
                        <w:bookmarkStart w:id="101" w:name="TI023036.300"/>
                        <w:bookmarkEnd w:id="101"/>
                        <w:r>
                          <w:rPr>
                            <w:b/>
                            <w:bCs/>
                          </w:rPr>
                          <w:t>Venous outflow obstruction</w:t>
                        </w:r>
                      </w:p>
                    </w:tc>
                    <w:tc>
                      <w:tcPr>
                        <w:tcW w:w="0" w:type="auto"/>
                        <w:shd w:val="clear" w:color="auto" w:fill="FFFFFF"/>
                        <w:hideMark/>
                      </w:tcPr>
                      <w:p w:rsidR="005E6458" w:rsidRDefault="005E6458">
                        <w:pPr>
                          <w:rPr>
                            <w:sz w:val="24"/>
                            <w:szCs w:val="24"/>
                          </w:rPr>
                        </w:pPr>
                        <w:proofErr w:type="spellStart"/>
                        <w:r>
                          <w:t>Busulfan</w:t>
                        </w:r>
                        <w:proofErr w:type="spellEnd"/>
                        <w:r>
                          <w:br/>
                        </w:r>
                        <w:proofErr w:type="spellStart"/>
                        <w:r>
                          <w:t>Azathioprine</w:t>
                        </w:r>
                        <w:proofErr w:type="spellEnd"/>
                      </w:p>
                    </w:tc>
                  </w:tr>
                  <w:tr w:rsidR="005E6458" w:rsidTr="005E6458">
                    <w:trPr>
                      <w:gridAfter w:val="1"/>
                      <w:wAfter w:w="2780" w:type="dxa"/>
                      <w:tblCellSpacing w:w="0" w:type="dxa"/>
                      <w:jc w:val="center"/>
                    </w:trPr>
                    <w:tc>
                      <w:tcPr>
                        <w:tcW w:w="0" w:type="auto"/>
                        <w:shd w:val="clear" w:color="auto" w:fill="FFFFFF"/>
                        <w:hideMark/>
                      </w:tcPr>
                      <w:p w:rsidR="005E6458" w:rsidRDefault="005E6458">
                        <w:pPr>
                          <w:rPr>
                            <w:sz w:val="24"/>
                            <w:szCs w:val="24"/>
                          </w:rPr>
                        </w:pPr>
                        <w:bookmarkStart w:id="102" w:name="TI023036.350"/>
                        <w:bookmarkEnd w:id="102"/>
                        <w:r>
                          <w:rPr>
                            <w:b/>
                            <w:bCs/>
                          </w:rPr>
                          <w:t>Fibrosis</w:t>
                        </w:r>
                      </w:p>
                    </w:tc>
                    <w:tc>
                      <w:tcPr>
                        <w:tcW w:w="0" w:type="auto"/>
                        <w:shd w:val="clear" w:color="auto" w:fill="FFFFFF"/>
                        <w:hideMark/>
                      </w:tcPr>
                      <w:p w:rsidR="005E6458" w:rsidRDefault="005E6458">
                        <w:pPr>
                          <w:rPr>
                            <w:sz w:val="24"/>
                            <w:szCs w:val="24"/>
                          </w:rPr>
                        </w:pPr>
                        <w:proofErr w:type="spellStart"/>
                        <w:r>
                          <w:t>Methotrexate</w:t>
                        </w:r>
                        <w:proofErr w:type="spellEnd"/>
                      </w:p>
                    </w:tc>
                  </w:tr>
                </w:tbl>
                <w:p w:rsidR="005E6458" w:rsidRDefault="005E6458">
                  <w:pPr>
                    <w:rPr>
                      <w:vanish/>
                    </w:rPr>
                  </w:pPr>
                </w:p>
                <w:tbl>
                  <w:tblPr>
                    <w:tblW w:w="4500" w:type="pct"/>
                    <w:jc w:val="center"/>
                    <w:tblCellSpacing w:w="0" w:type="dxa"/>
                    <w:tblCellMar>
                      <w:left w:w="0" w:type="dxa"/>
                      <w:right w:w="0" w:type="dxa"/>
                    </w:tblCellMar>
                    <w:tblLook w:val="04A0"/>
                  </w:tblPr>
                  <w:tblGrid>
                    <w:gridCol w:w="7641"/>
                  </w:tblGrid>
                  <w:tr w:rsidR="005E6458">
                    <w:trPr>
                      <w:tblCellSpacing w:w="0" w:type="dxa"/>
                      <w:jc w:val="center"/>
                    </w:trPr>
                    <w:tc>
                      <w:tcPr>
                        <w:tcW w:w="5000" w:type="pct"/>
                        <w:shd w:val="clear" w:color="auto" w:fill="FFFFFF"/>
                        <w:vAlign w:val="center"/>
                        <w:hideMark/>
                      </w:tcPr>
                      <w:p w:rsidR="005E6458" w:rsidRDefault="005E6458">
                        <w:pPr>
                          <w:rPr>
                            <w:sz w:val="24"/>
                            <w:szCs w:val="24"/>
                          </w:rPr>
                        </w:pPr>
                      </w:p>
                    </w:tc>
                  </w:tr>
                </w:tbl>
                <w:p w:rsidR="005E6458" w:rsidRDefault="005E6458">
                  <w:pPr>
                    <w:rPr>
                      <w:vanish/>
                    </w:rPr>
                  </w:pPr>
                </w:p>
                <w:tbl>
                  <w:tblPr>
                    <w:tblW w:w="4000" w:type="pct"/>
                    <w:jc w:val="center"/>
                    <w:tblCellSpacing w:w="0" w:type="dxa"/>
                    <w:tblCellMar>
                      <w:left w:w="0" w:type="dxa"/>
                      <w:right w:w="0" w:type="dxa"/>
                    </w:tblCellMar>
                    <w:tblLook w:val="04A0"/>
                  </w:tblPr>
                  <w:tblGrid>
                    <w:gridCol w:w="6792"/>
                  </w:tblGrid>
                  <w:tr w:rsidR="005E6458">
                    <w:trPr>
                      <w:tblCellSpacing w:w="0" w:type="dxa"/>
                      <w:jc w:val="center"/>
                    </w:trPr>
                    <w:tc>
                      <w:tcPr>
                        <w:tcW w:w="5000" w:type="pct"/>
                        <w:vAlign w:val="center"/>
                        <w:hideMark/>
                      </w:tcPr>
                      <w:p w:rsidR="005E6458" w:rsidRDefault="005E6458">
                        <w:pPr>
                          <w:rPr>
                            <w:sz w:val="24"/>
                            <w:szCs w:val="24"/>
                          </w:rPr>
                        </w:pPr>
                        <w:bookmarkStart w:id="103" w:name="B023051"/>
                        <w:bookmarkEnd w:id="103"/>
                        <w:r>
                          <w:t>23.51 THE DIAGNOSIS OF ACUTE DRUG-INDUCED LIVER DISEASE</w:t>
                        </w:r>
                      </w:p>
                    </w:tc>
                  </w:tr>
                </w:tbl>
                <w:p w:rsidR="005E6458" w:rsidRDefault="005E6458">
                  <w:pPr>
                    <w:rPr>
                      <w:vanish/>
                    </w:rPr>
                  </w:pPr>
                  <w:bookmarkStart w:id="104" w:name="TI023037"/>
                  <w:bookmarkEnd w:id="104"/>
                </w:p>
                <w:tbl>
                  <w:tblPr>
                    <w:tblW w:w="0" w:type="auto"/>
                    <w:jc w:val="center"/>
                    <w:tblCellSpacing w:w="0" w:type="dxa"/>
                    <w:tblCellMar>
                      <w:top w:w="15" w:type="dxa"/>
                      <w:left w:w="15" w:type="dxa"/>
                      <w:bottom w:w="15" w:type="dxa"/>
                      <w:right w:w="15" w:type="dxa"/>
                    </w:tblCellMar>
                    <w:tblLook w:val="04A0"/>
                  </w:tblPr>
                  <w:tblGrid>
                    <w:gridCol w:w="36"/>
                  </w:tblGrid>
                  <w:tr w:rsidR="005E6458">
                    <w:trPr>
                      <w:tblCellSpacing w:w="0" w:type="dxa"/>
                      <w:jc w:val="center"/>
                    </w:trPr>
                    <w:tc>
                      <w:tcPr>
                        <w:tcW w:w="0" w:type="auto"/>
                        <w:vAlign w:val="center"/>
                        <w:hideMark/>
                      </w:tcPr>
                      <w:p w:rsidR="005E6458" w:rsidRDefault="005E6458">
                        <w:pPr>
                          <w:rPr>
                            <w:sz w:val="24"/>
                            <w:szCs w:val="24"/>
                          </w:rPr>
                        </w:pPr>
                      </w:p>
                    </w:tc>
                  </w:tr>
                </w:tbl>
                <w:p w:rsidR="005E6458" w:rsidRDefault="005E6458">
                  <w:pPr>
                    <w:rPr>
                      <w:vanish/>
                    </w:rPr>
                  </w:pPr>
                </w:p>
                <w:tbl>
                  <w:tblPr>
                    <w:tblW w:w="4000" w:type="pct"/>
                    <w:jc w:val="center"/>
                    <w:tblCellSpacing w:w="0" w:type="dxa"/>
                    <w:tblCellMar>
                      <w:left w:w="0" w:type="dxa"/>
                      <w:right w:w="0" w:type="dxa"/>
                    </w:tblCellMar>
                    <w:tblLook w:val="04A0"/>
                  </w:tblPr>
                  <w:tblGrid>
                    <w:gridCol w:w="6792"/>
                  </w:tblGrid>
                  <w:tr w:rsidR="005E6458">
                    <w:trPr>
                      <w:tblCellSpacing w:w="0" w:type="dxa"/>
                      <w:jc w:val="center"/>
                    </w:trPr>
                    <w:tc>
                      <w:tcPr>
                        <w:tcW w:w="5000" w:type="pct"/>
                        <w:vAlign w:val="center"/>
                        <w:hideMark/>
                      </w:tcPr>
                      <w:p w:rsidR="005E6458" w:rsidRDefault="005E6458" w:rsidP="005E6458">
                        <w:pPr>
                          <w:numPr>
                            <w:ilvl w:val="0"/>
                            <w:numId w:val="8"/>
                          </w:numPr>
                          <w:spacing w:before="100" w:beforeAutospacing="1" w:after="100" w:afterAutospacing="1" w:line="240" w:lineRule="auto"/>
                        </w:pPr>
                        <w:bookmarkStart w:id="105" w:name="P023299"/>
                        <w:bookmarkEnd w:id="105"/>
                        <w:r>
                          <w:t xml:space="preserve">Tabulate drugs taken </w:t>
                        </w:r>
                      </w:p>
                      <w:p w:rsidR="005E6458" w:rsidRDefault="005E6458" w:rsidP="005E6458">
                        <w:pPr>
                          <w:numPr>
                            <w:ilvl w:val="1"/>
                            <w:numId w:val="8"/>
                          </w:numPr>
                          <w:spacing w:before="100" w:beforeAutospacing="1" w:after="100" w:afterAutospacing="1" w:line="240" w:lineRule="auto"/>
                        </w:pPr>
                        <w:r>
                          <w:t xml:space="preserve">Prescribed </w:t>
                        </w:r>
                      </w:p>
                      <w:p w:rsidR="005E6458" w:rsidRDefault="005E6458" w:rsidP="005E6458">
                        <w:pPr>
                          <w:numPr>
                            <w:ilvl w:val="1"/>
                            <w:numId w:val="8"/>
                          </w:numPr>
                          <w:spacing w:before="100" w:beforeAutospacing="1" w:after="100" w:afterAutospacing="1" w:line="240" w:lineRule="auto"/>
                        </w:pPr>
                        <w:r>
                          <w:t xml:space="preserve">Self-administered </w:t>
                        </w:r>
                      </w:p>
                      <w:p w:rsidR="005E6458" w:rsidRDefault="005E6458" w:rsidP="005E6458">
                        <w:pPr>
                          <w:numPr>
                            <w:ilvl w:val="0"/>
                            <w:numId w:val="8"/>
                          </w:numPr>
                          <w:spacing w:before="100" w:beforeAutospacing="1" w:after="100" w:afterAutospacing="1" w:line="240" w:lineRule="auto"/>
                        </w:pPr>
                        <w:r>
                          <w:t xml:space="preserve">Establish if reported </w:t>
                        </w:r>
                        <w:proofErr w:type="spellStart"/>
                        <w:r>
                          <w:t>hepatoxicity</w:t>
                        </w:r>
                        <w:proofErr w:type="spellEnd"/>
                        <w:r>
                          <w:t xml:space="preserve"> in the literature </w:t>
                        </w:r>
                      </w:p>
                      <w:p w:rsidR="005E6458" w:rsidRDefault="005E6458" w:rsidP="005E6458">
                        <w:pPr>
                          <w:numPr>
                            <w:ilvl w:val="0"/>
                            <w:numId w:val="8"/>
                          </w:numPr>
                          <w:spacing w:before="100" w:beforeAutospacing="1" w:after="100" w:afterAutospacing="1" w:line="240" w:lineRule="auto"/>
                        </w:pPr>
                        <w:r>
                          <w:t xml:space="preserve">Relate time drugs taken to onset of illness 4 days-8 weeks (usual) </w:t>
                        </w:r>
                      </w:p>
                      <w:p w:rsidR="005E6458" w:rsidRDefault="005E6458" w:rsidP="005E6458">
                        <w:pPr>
                          <w:numPr>
                            <w:ilvl w:val="0"/>
                            <w:numId w:val="8"/>
                          </w:numPr>
                          <w:spacing w:before="100" w:beforeAutospacing="1" w:after="100" w:afterAutospacing="1" w:line="240" w:lineRule="auto"/>
                        </w:pPr>
                        <w:r>
                          <w:t xml:space="preserve">Effect of stopping drugs on </w:t>
                        </w:r>
                        <w:proofErr w:type="spellStart"/>
                        <w:r>
                          <w:t>normalisation</w:t>
                        </w:r>
                        <w:proofErr w:type="spellEnd"/>
                        <w:r>
                          <w:t xml:space="preserve"> of liver biochemistry </w:t>
                        </w:r>
                      </w:p>
                      <w:p w:rsidR="005E6458" w:rsidRDefault="005E6458" w:rsidP="005E6458">
                        <w:pPr>
                          <w:numPr>
                            <w:ilvl w:val="1"/>
                            <w:numId w:val="8"/>
                          </w:numPr>
                          <w:spacing w:before="100" w:beforeAutospacing="1" w:after="100" w:afterAutospacing="1" w:line="240" w:lineRule="auto"/>
                        </w:pPr>
                        <w:proofErr w:type="spellStart"/>
                        <w:r>
                          <w:t>Hepatitic</w:t>
                        </w:r>
                        <w:proofErr w:type="spellEnd"/>
                        <w:r>
                          <w:t xml:space="preserve"> LFTs (2 months) </w:t>
                        </w:r>
                      </w:p>
                      <w:p w:rsidR="005E6458" w:rsidRDefault="005E6458" w:rsidP="005E6458">
                        <w:pPr>
                          <w:numPr>
                            <w:ilvl w:val="1"/>
                            <w:numId w:val="8"/>
                          </w:numPr>
                          <w:spacing w:before="100" w:beforeAutospacing="1" w:after="100" w:afterAutospacing="1" w:line="240" w:lineRule="auto"/>
                        </w:pPr>
                        <w:proofErr w:type="spellStart"/>
                        <w:r>
                          <w:t>Cholestatic</w:t>
                        </w:r>
                        <w:proofErr w:type="spellEnd"/>
                        <w:r>
                          <w:t xml:space="preserve">/mixed LFTs (6 months) </w:t>
                        </w:r>
                      </w:p>
                      <w:p w:rsidR="005E6458" w:rsidRDefault="005E6458" w:rsidP="005E6458">
                        <w:pPr>
                          <w:numPr>
                            <w:ilvl w:val="0"/>
                            <w:numId w:val="8"/>
                          </w:numPr>
                          <w:spacing w:before="100" w:beforeAutospacing="1" w:after="100" w:afterAutospacing="1" w:line="240" w:lineRule="auto"/>
                        </w:pPr>
                        <w:r>
                          <w:t xml:space="preserve">Exclude other causes </w:t>
                        </w:r>
                      </w:p>
                      <w:p w:rsidR="005E6458" w:rsidRDefault="005E6458" w:rsidP="005E6458">
                        <w:pPr>
                          <w:numPr>
                            <w:ilvl w:val="1"/>
                            <w:numId w:val="8"/>
                          </w:numPr>
                          <w:spacing w:before="100" w:beforeAutospacing="1" w:after="100" w:afterAutospacing="1" w:line="240" w:lineRule="auto"/>
                        </w:pPr>
                        <w:r>
                          <w:t xml:space="preserve">Viral hepatitis </w:t>
                        </w:r>
                      </w:p>
                      <w:p w:rsidR="005E6458" w:rsidRDefault="005E6458" w:rsidP="005E6458">
                        <w:pPr>
                          <w:numPr>
                            <w:ilvl w:val="1"/>
                            <w:numId w:val="8"/>
                          </w:numPr>
                          <w:spacing w:before="100" w:beforeAutospacing="1" w:after="100" w:afterAutospacing="1" w:line="240" w:lineRule="auto"/>
                        </w:pPr>
                        <w:proofErr w:type="spellStart"/>
                        <w:r>
                          <w:t>Biliary</w:t>
                        </w:r>
                        <w:proofErr w:type="spellEnd"/>
                        <w:r>
                          <w:t xml:space="preserve"> disease </w:t>
                        </w:r>
                      </w:p>
                      <w:p w:rsidR="005E6458" w:rsidRDefault="005E6458" w:rsidP="005E6458">
                        <w:pPr>
                          <w:numPr>
                            <w:ilvl w:val="0"/>
                            <w:numId w:val="8"/>
                          </w:numPr>
                          <w:spacing w:before="100" w:beforeAutospacing="1" w:after="100" w:afterAutospacing="1" w:line="240" w:lineRule="auto"/>
                          <w:rPr>
                            <w:sz w:val="24"/>
                            <w:szCs w:val="24"/>
                          </w:rPr>
                        </w:pPr>
                        <w:r>
                          <w:t xml:space="preserve">Consider liver biopsy </w:t>
                        </w:r>
                      </w:p>
                    </w:tc>
                  </w:tr>
                </w:tbl>
                <w:p w:rsidR="005E6458" w:rsidRDefault="005E6458">
                  <w:pPr>
                    <w:rPr>
                      <w:vanish/>
                    </w:rPr>
                  </w:pPr>
                </w:p>
                <w:tbl>
                  <w:tblPr>
                    <w:tblW w:w="5000" w:type="pct"/>
                    <w:tblCellSpacing w:w="0" w:type="dxa"/>
                    <w:tblCellMar>
                      <w:left w:w="0" w:type="dxa"/>
                      <w:right w:w="0" w:type="dxa"/>
                    </w:tblCellMar>
                    <w:tblLook w:val="04A0"/>
                  </w:tblPr>
                  <w:tblGrid>
                    <w:gridCol w:w="8490"/>
                  </w:tblGrid>
                  <w:tr w:rsidR="005E6458">
                    <w:trPr>
                      <w:tblCellSpacing w:w="0" w:type="dxa"/>
                    </w:trPr>
                    <w:tc>
                      <w:tcPr>
                        <w:tcW w:w="5000" w:type="pct"/>
                        <w:vAlign w:val="center"/>
                        <w:hideMark/>
                      </w:tcPr>
                      <w:p w:rsidR="005E6458" w:rsidRDefault="005E6458">
                        <w:pPr>
                          <w:rPr>
                            <w:sz w:val="24"/>
                            <w:szCs w:val="24"/>
                          </w:rPr>
                        </w:pPr>
                        <w:r>
                          <w:pict>
                            <v:shape id="_x0000_i1033" type="#_x0000_t75" alt="" style="width:.65pt;height:7.8pt"/>
                          </w:pict>
                        </w:r>
                      </w:p>
                    </w:tc>
                  </w:tr>
                </w:tbl>
                <w:p w:rsidR="005E6458" w:rsidRDefault="005E6458">
                  <w:pPr>
                    <w:rPr>
                      <w:sz w:val="24"/>
                      <w:szCs w:val="24"/>
                    </w:rPr>
                  </w:pPr>
                </w:p>
              </w:tc>
            </w:tr>
            <w:tr w:rsidR="005E6458" w:rsidTr="005E6458">
              <w:trPr>
                <w:tblCellSpacing w:w="0" w:type="dxa"/>
              </w:trPr>
              <w:tc>
                <w:tcPr>
                  <w:tcW w:w="0" w:type="auto"/>
                  <w:shd w:val="clear" w:color="auto" w:fill="FFFFFF"/>
                  <w:hideMark/>
                </w:tcPr>
                <w:p w:rsidR="005E6458" w:rsidRDefault="005E6458">
                  <w:pPr>
                    <w:rPr>
                      <w:sz w:val="24"/>
                      <w:szCs w:val="24"/>
                    </w:rPr>
                  </w:pPr>
                  <w:bookmarkStart w:id="106" w:name="TI023037.50"/>
                  <w:bookmarkEnd w:id="106"/>
                </w:p>
              </w:tc>
            </w:tr>
            <w:tr w:rsidR="005E6458" w:rsidTr="005E6458">
              <w:trPr>
                <w:tblCellSpacing w:w="0" w:type="dxa"/>
              </w:trPr>
              <w:tc>
                <w:tcPr>
                  <w:tcW w:w="0" w:type="auto"/>
                  <w:shd w:val="clear" w:color="auto" w:fill="FFFFFF"/>
                  <w:hideMark/>
                </w:tcPr>
                <w:p w:rsidR="005E6458" w:rsidRDefault="005E6458">
                  <w:bookmarkStart w:id="107" w:name="TI023037.100"/>
                  <w:bookmarkEnd w:id="107"/>
                  <w:r>
                    <w:rPr>
                      <w:b/>
                      <w:bCs/>
                    </w:rPr>
                    <w:t>N.B.</w:t>
                  </w:r>
                  <w:r>
                    <w:t xml:space="preserve"> Challenge tests with drugs should be avoided.</w:t>
                  </w:r>
                </w:p>
                <w:p w:rsidR="00EB1306" w:rsidRDefault="00EB1306">
                  <w:pPr>
                    <w:rPr>
                      <w:sz w:val="24"/>
                      <w:szCs w:val="24"/>
                    </w:rPr>
                  </w:pPr>
                </w:p>
              </w:tc>
            </w:tr>
          </w:tbl>
          <w:p w:rsidR="005E6458" w:rsidRDefault="005E6458" w:rsidP="005E6458">
            <w:pPr>
              <w:rPr>
                <w:vanish/>
              </w:rPr>
            </w:pPr>
          </w:p>
          <w:tbl>
            <w:tblPr>
              <w:tblW w:w="4500" w:type="pct"/>
              <w:jc w:val="center"/>
              <w:tblCellSpacing w:w="0" w:type="dxa"/>
              <w:tblCellMar>
                <w:left w:w="0" w:type="dxa"/>
                <w:right w:w="0" w:type="dxa"/>
              </w:tblCellMar>
              <w:tblLook w:val="04A0"/>
            </w:tblPr>
            <w:tblGrid>
              <w:gridCol w:w="7776"/>
            </w:tblGrid>
            <w:tr w:rsidR="005E6458" w:rsidTr="005E6458">
              <w:trPr>
                <w:tblCellSpacing w:w="0" w:type="dxa"/>
                <w:jc w:val="center"/>
              </w:trPr>
              <w:tc>
                <w:tcPr>
                  <w:tcW w:w="5000" w:type="pct"/>
                  <w:shd w:val="clear" w:color="auto" w:fill="FFFFFF"/>
                  <w:vAlign w:val="center"/>
                  <w:hideMark/>
                </w:tcPr>
                <w:p w:rsidR="005E6458" w:rsidRDefault="005E6458">
                  <w:pPr>
                    <w:rPr>
                      <w:sz w:val="24"/>
                      <w:szCs w:val="24"/>
                    </w:rPr>
                  </w:pP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08" w:name="P023300"/>
                  <w:bookmarkEnd w:id="108"/>
                  <w:r>
                    <w:t>The key to diagnosing acute drug-induced liver disease is always to take a detailed drug history (</w:t>
                  </w:r>
                  <w:hyperlink r:id="rId6" w:anchor="B023051" w:tooltip="Go here now" w:history="1">
                    <w:r>
                      <w:rPr>
                        <w:rStyle w:val="Hyperlink"/>
                      </w:rPr>
                      <w:t>Box 23.51</w:t>
                    </w:r>
                  </w:hyperlink>
                  <w:r>
                    <w:t xml:space="preserve">). A liver biopsy should be considered if there is suspicion of pre-existing liver disease or if blood tests fail to improve when the suspect drug is withdrawn.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09" w:name="HC023175"/>
                  <w:bookmarkEnd w:id="109"/>
                  <w:r>
                    <w:t xml:space="preserve">TYPES OF LIVER INJURY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10" w:name="P023301"/>
                  <w:bookmarkEnd w:id="110"/>
                  <w:r>
                    <w:t xml:space="preserve">Different histological patterns of liver injury may occur.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Pr="005E6458" w:rsidRDefault="005E6458">
                  <w:pPr>
                    <w:rPr>
                      <w:color w:val="00B050"/>
                      <w:sz w:val="24"/>
                      <w:szCs w:val="24"/>
                    </w:rPr>
                  </w:pPr>
                  <w:bookmarkStart w:id="111" w:name="HC023177"/>
                  <w:bookmarkEnd w:id="111"/>
                  <w:proofErr w:type="spellStart"/>
                  <w:r w:rsidRPr="005E6458">
                    <w:rPr>
                      <w:color w:val="00B050"/>
                    </w:rPr>
                    <w:t>Cholestasis</w:t>
                  </w:r>
                  <w:proofErr w:type="spellEnd"/>
                  <w:r w:rsidRPr="005E6458">
                    <w:rPr>
                      <w:color w:val="00B050"/>
                    </w:rPr>
                    <w:t xml:space="preserve">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12" w:name="P023302"/>
                  <w:bookmarkEnd w:id="112"/>
                  <w:r>
                    <w:t xml:space="preserve">Pure </w:t>
                  </w:r>
                  <w:proofErr w:type="spellStart"/>
                  <w:r>
                    <w:t>cholestasis</w:t>
                  </w:r>
                  <w:proofErr w:type="spellEnd"/>
                  <w:r>
                    <w:t xml:space="preserve"> (selective interference with bile flow in the absence of liver injury) can occur with </w:t>
                  </w:r>
                  <w:proofErr w:type="spellStart"/>
                  <w:r w:rsidRPr="00926D35">
                    <w:rPr>
                      <w:highlight w:val="yellow"/>
                    </w:rPr>
                    <w:t>oestrogens</w:t>
                  </w:r>
                  <w:proofErr w:type="spellEnd"/>
                  <w:r>
                    <w:t xml:space="preserve">; this was seen quite frequently when higher concentrations of </w:t>
                  </w:r>
                  <w:proofErr w:type="spellStart"/>
                  <w:r>
                    <w:t>oestrogens</w:t>
                  </w:r>
                  <w:proofErr w:type="spellEnd"/>
                  <w:r>
                    <w:t xml:space="preserve"> (50 </w:t>
                  </w:r>
                  <w:proofErr w:type="spellStart"/>
                  <w:r>
                    <w:t>μg</w:t>
                  </w:r>
                  <w:proofErr w:type="spellEnd"/>
                  <w:r>
                    <w:t xml:space="preserve">/day) were used as contraceptives. Both the current oral contraceptive pill and hormone replacement therapy can be safely used in chronic liver disease.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13" w:name="P023303"/>
                  <w:bookmarkEnd w:id="113"/>
                  <w:r w:rsidRPr="00926D35">
                    <w:rPr>
                      <w:highlight w:val="yellow"/>
                    </w:rPr>
                    <w:t>Chlorpromazine</w:t>
                  </w:r>
                  <w:r>
                    <w:t xml:space="preserve"> and </w:t>
                  </w:r>
                  <w:r w:rsidRPr="00926D35">
                    <w:rPr>
                      <w:highlight w:val="yellow"/>
                    </w:rPr>
                    <w:t>antibiotics</w:t>
                  </w:r>
                  <w:r>
                    <w:t xml:space="preserve"> such as </w:t>
                  </w:r>
                  <w:proofErr w:type="spellStart"/>
                  <w:r>
                    <w:t>flucloxacillin</w:t>
                  </w:r>
                  <w:proofErr w:type="spellEnd"/>
                  <w:r>
                    <w:t xml:space="preserve"> are examples of drugs that cause </w:t>
                  </w:r>
                  <w:proofErr w:type="spellStart"/>
                  <w:r>
                    <w:t>cholestatic</w:t>
                  </w:r>
                  <w:proofErr w:type="spellEnd"/>
                  <w:r>
                    <w:t xml:space="preserve"> hepatitis, which is </w:t>
                  </w:r>
                  <w:proofErr w:type="spellStart"/>
                  <w:r>
                    <w:t>characterised</w:t>
                  </w:r>
                  <w:proofErr w:type="spellEnd"/>
                  <w:r>
                    <w:t xml:space="preserve"> by inflammation and </w:t>
                  </w:r>
                  <w:proofErr w:type="spellStart"/>
                  <w:r>
                    <w:t>canalicular</w:t>
                  </w:r>
                  <w:proofErr w:type="spellEnd"/>
                  <w:r>
                    <w:t xml:space="preserve"> injury. Co-</w:t>
                  </w:r>
                  <w:proofErr w:type="spellStart"/>
                  <w:r>
                    <w:t>amoxiclav</w:t>
                  </w:r>
                  <w:proofErr w:type="spellEnd"/>
                  <w:r>
                    <w:t xml:space="preserve"> is the most common antibiotic to cause abnormal LFTs but, unlike other antibiotics, it may not produce symptoms until 10-42 days after it is stopped. Anabolic steroids used by body-builders may also cause a </w:t>
                  </w:r>
                  <w:proofErr w:type="spellStart"/>
                  <w:r>
                    <w:t>cholestatic</w:t>
                  </w:r>
                  <w:proofErr w:type="spellEnd"/>
                  <w:r>
                    <w:t xml:space="preserve"> hepatitis. In some cases (e.g. NSAIDs and COX-2 inhibitors) there is overlap with acute </w:t>
                  </w:r>
                  <w:proofErr w:type="spellStart"/>
                  <w:r>
                    <w:t>hepatocellular</w:t>
                  </w:r>
                  <w:proofErr w:type="spellEnd"/>
                  <w:r>
                    <w:t xml:space="preserve"> injury.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Pr="00926D35" w:rsidRDefault="005E6458">
                  <w:pPr>
                    <w:rPr>
                      <w:color w:val="00B050"/>
                      <w:sz w:val="24"/>
                      <w:szCs w:val="24"/>
                    </w:rPr>
                  </w:pPr>
                  <w:bookmarkStart w:id="114" w:name="HC023178"/>
                  <w:bookmarkEnd w:id="114"/>
                  <w:proofErr w:type="spellStart"/>
                  <w:r w:rsidRPr="00926D35">
                    <w:rPr>
                      <w:color w:val="00B050"/>
                    </w:rPr>
                    <w:t>Hepatocyte</w:t>
                  </w:r>
                  <w:proofErr w:type="spellEnd"/>
                  <w:r w:rsidRPr="00926D35">
                    <w:rPr>
                      <w:color w:val="00B050"/>
                    </w:rPr>
                    <w:t xml:space="preserve"> necrosis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Pr="00926D35" w:rsidRDefault="005E6458">
                  <w:pPr>
                    <w:rPr>
                      <w:sz w:val="24"/>
                      <w:szCs w:val="24"/>
                    </w:rPr>
                  </w:pPr>
                  <w:bookmarkStart w:id="115" w:name="P023304"/>
                  <w:bookmarkEnd w:id="115"/>
                  <w:r w:rsidRPr="00926D35">
                    <w:t xml:space="preserve">Many drugs cause an acute </w:t>
                  </w:r>
                  <w:proofErr w:type="spellStart"/>
                  <w:r w:rsidRPr="00926D35">
                    <w:t>hepatocellular</w:t>
                  </w:r>
                  <w:proofErr w:type="spellEnd"/>
                  <w:r w:rsidRPr="00926D35">
                    <w:t xml:space="preserve"> necrosis with high serum </w:t>
                  </w:r>
                  <w:proofErr w:type="spellStart"/>
                  <w:r w:rsidRPr="00926D35">
                    <w:t>transaminase</w:t>
                  </w:r>
                  <w:proofErr w:type="spellEnd"/>
                  <w:r w:rsidRPr="00926D35">
                    <w:t xml:space="preserve"> concentrations; </w:t>
                  </w:r>
                  <w:proofErr w:type="spellStart"/>
                  <w:r w:rsidRPr="00926D35">
                    <w:rPr>
                      <w:highlight w:val="yellow"/>
                    </w:rPr>
                    <w:t>paracetamol</w:t>
                  </w:r>
                  <w:proofErr w:type="spellEnd"/>
                  <w:r w:rsidRPr="00926D35">
                    <w:t xml:space="preserve"> (</w:t>
                  </w:r>
                  <w:hyperlink r:id="rId7" w:anchor="P0208" w:tooltip="Go here now" w:history="1">
                    <w:r w:rsidRPr="00926D35">
                      <w:rPr>
                        <w:rStyle w:val="Hyperlink"/>
                      </w:rPr>
                      <w:t>p. 208</w:t>
                    </w:r>
                  </w:hyperlink>
                  <w:r w:rsidRPr="00926D35">
                    <w:t xml:space="preserve">) is the best known. Inflammation is not always present but does accompany necrosis in liver injury due to </w:t>
                  </w:r>
                  <w:proofErr w:type="spellStart"/>
                  <w:r w:rsidRPr="00926D35">
                    <w:rPr>
                      <w:highlight w:val="yellow"/>
                    </w:rPr>
                    <w:t>diclofenac</w:t>
                  </w:r>
                  <w:proofErr w:type="spellEnd"/>
                  <w:r w:rsidRPr="00926D35">
                    <w:t xml:space="preserve"> (an NSAID) and </w:t>
                  </w:r>
                  <w:proofErr w:type="spellStart"/>
                  <w:r w:rsidRPr="00926D35">
                    <w:rPr>
                      <w:highlight w:val="yellow"/>
                    </w:rPr>
                    <w:t>isoniazid</w:t>
                  </w:r>
                  <w:proofErr w:type="spellEnd"/>
                  <w:r w:rsidRPr="00926D35">
                    <w:t xml:space="preserve"> (an anti-</w:t>
                  </w:r>
                  <w:proofErr w:type="spellStart"/>
                  <w:r w:rsidRPr="00926D35">
                    <w:t>tuberculous</w:t>
                  </w:r>
                  <w:proofErr w:type="spellEnd"/>
                  <w:r w:rsidRPr="00926D35">
                    <w:t xml:space="preserve"> drug). </w:t>
                  </w:r>
                  <w:proofErr w:type="spellStart"/>
                  <w:r w:rsidRPr="00926D35">
                    <w:t>Granuloma</w:t>
                  </w:r>
                  <w:proofErr w:type="spellEnd"/>
                  <w:r w:rsidRPr="00926D35">
                    <w:t xml:space="preserve"> may be seen in liver injury following the use of </w:t>
                  </w:r>
                  <w:proofErr w:type="spellStart"/>
                  <w:r w:rsidRPr="00926D35">
                    <w:rPr>
                      <w:highlight w:val="yellow"/>
                    </w:rPr>
                    <w:t>allopurinol</w:t>
                  </w:r>
                  <w:proofErr w:type="spellEnd"/>
                  <w:r w:rsidRPr="00926D35">
                    <w:t xml:space="preserve">. Acute </w:t>
                  </w:r>
                  <w:proofErr w:type="spellStart"/>
                  <w:r w:rsidRPr="00926D35">
                    <w:t>hepatocellular</w:t>
                  </w:r>
                  <w:proofErr w:type="spellEnd"/>
                  <w:r w:rsidRPr="00926D35">
                    <w:t xml:space="preserve"> necrosis has also been described following the use of several herbal remedies including germander, comfrey and </w:t>
                  </w:r>
                  <w:proofErr w:type="spellStart"/>
                  <w:r w:rsidRPr="00926D35">
                    <w:t>jin</w:t>
                  </w:r>
                  <w:proofErr w:type="spellEnd"/>
                  <w:r w:rsidRPr="00926D35">
                    <w:t xml:space="preserve"> </w:t>
                  </w:r>
                  <w:proofErr w:type="spellStart"/>
                  <w:r w:rsidRPr="00926D35">
                    <w:t>bu</w:t>
                  </w:r>
                  <w:proofErr w:type="spellEnd"/>
                  <w:r w:rsidRPr="00926D35">
                    <w:t xml:space="preserve"> </w:t>
                  </w:r>
                  <w:proofErr w:type="spellStart"/>
                  <w:r w:rsidRPr="00926D35">
                    <w:t>huan</w:t>
                  </w:r>
                  <w:proofErr w:type="spellEnd"/>
                  <w:r w:rsidRPr="00926D35">
                    <w:t xml:space="preserve">. Recreational drugs, including cocaine and ecstasy, can also cause severe acute hepatitis.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Pr="00926D35" w:rsidRDefault="005E6458">
                  <w:pPr>
                    <w:rPr>
                      <w:color w:val="00B050"/>
                      <w:sz w:val="24"/>
                      <w:szCs w:val="24"/>
                    </w:rPr>
                  </w:pPr>
                  <w:bookmarkStart w:id="116" w:name="HC023179"/>
                  <w:bookmarkEnd w:id="116"/>
                  <w:proofErr w:type="spellStart"/>
                  <w:r w:rsidRPr="00926D35">
                    <w:rPr>
                      <w:color w:val="00B050"/>
                    </w:rPr>
                    <w:t>Steatosis</w:t>
                  </w:r>
                  <w:proofErr w:type="spellEnd"/>
                  <w:r w:rsidRPr="00926D35">
                    <w:rPr>
                      <w:color w:val="00B050"/>
                    </w:rPr>
                    <w:t xml:space="preserve">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vAlign w:val="center"/>
                  <w:hideMark/>
                </w:tcPr>
                <w:p w:rsidR="005E6458" w:rsidRDefault="005E6458">
                  <w:pPr>
                    <w:jc w:val="right"/>
                    <w:rPr>
                      <w:sz w:val="24"/>
                      <w:szCs w:val="24"/>
                    </w:rPr>
                  </w:pPr>
                </w:p>
              </w:tc>
            </w:tr>
            <w:tr w:rsidR="005E6458" w:rsidTr="005E6458">
              <w:trPr>
                <w:tblCellSpacing w:w="0" w:type="dxa"/>
              </w:trPr>
              <w:tc>
                <w:tcPr>
                  <w:tcW w:w="5000" w:type="pct"/>
                  <w:shd w:val="clear" w:color="auto" w:fill="EEEEEE"/>
                  <w:vAlign w:val="center"/>
                  <w:hideMark/>
                </w:tcPr>
                <w:p w:rsidR="005E6458" w:rsidRDefault="005E6458">
                  <w:pPr>
                    <w:jc w:val="right"/>
                    <w:rPr>
                      <w:sz w:val="24"/>
                      <w:szCs w:val="24"/>
                    </w:rPr>
                  </w:pPr>
                  <w:bookmarkStart w:id="117" w:name="P0974"/>
                  <w:bookmarkEnd w:id="117"/>
                </w:p>
              </w:tc>
            </w:tr>
            <w:tr w:rsidR="005E6458" w:rsidTr="005E6458">
              <w:trPr>
                <w:tblCellSpacing w:w="0" w:type="dxa"/>
              </w:trPr>
              <w:tc>
                <w:tcPr>
                  <w:tcW w:w="5000" w:type="pct"/>
                  <w:vAlign w:val="center"/>
                  <w:hideMark/>
                </w:tcPr>
                <w:p w:rsidR="005E6458" w:rsidRDefault="005E6458">
                  <w:pPr>
                    <w:jc w:val="right"/>
                    <w:rPr>
                      <w:sz w:val="24"/>
                      <w:szCs w:val="24"/>
                    </w:rPr>
                  </w:pP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18" w:name="P023305"/>
                  <w:bookmarkEnd w:id="118"/>
                  <w:proofErr w:type="spellStart"/>
                  <w:r>
                    <w:t>Microvesicular</w:t>
                  </w:r>
                  <w:proofErr w:type="spellEnd"/>
                  <w:r>
                    <w:t xml:space="preserve"> </w:t>
                  </w:r>
                  <w:proofErr w:type="spellStart"/>
                  <w:r>
                    <w:t>hepatocyte</w:t>
                  </w:r>
                  <w:proofErr w:type="spellEnd"/>
                  <w:r>
                    <w:t xml:space="preserve"> fat deposition, due to direct effects on mitochondrial beta-oxidation, can follow exposure to </w:t>
                  </w:r>
                  <w:proofErr w:type="spellStart"/>
                  <w:r w:rsidRPr="00926D35">
                    <w:rPr>
                      <w:highlight w:val="yellow"/>
                    </w:rPr>
                    <w:t>tetracyclines</w:t>
                  </w:r>
                  <w:proofErr w:type="spellEnd"/>
                  <w:r>
                    <w:t xml:space="preserve"> and sodium </w:t>
                  </w:r>
                  <w:proofErr w:type="spellStart"/>
                  <w:r>
                    <w:t>valproate</w:t>
                  </w:r>
                  <w:proofErr w:type="spellEnd"/>
                  <w:r>
                    <w:t xml:space="preserve"> (</w:t>
                  </w:r>
                  <w:hyperlink r:id="rId8" w:anchor="B023063" w:tooltip="Go here now" w:history="1">
                    <w:r>
                      <w:rPr>
                        <w:rStyle w:val="Hyperlink"/>
                      </w:rPr>
                      <w:t>Box 23.63</w:t>
                    </w:r>
                  </w:hyperlink>
                  <w:r>
                    <w:t xml:space="preserve">, </w:t>
                  </w:r>
                  <w:hyperlink r:id="rId9" w:anchor="P0988" w:tooltip="Go here now" w:history="1">
                    <w:r>
                      <w:rPr>
                        <w:rStyle w:val="Hyperlink"/>
                      </w:rPr>
                      <w:t>p. 988</w:t>
                    </w:r>
                  </w:hyperlink>
                  <w:r>
                    <w:t xml:space="preserve">). </w:t>
                  </w:r>
                  <w:proofErr w:type="spellStart"/>
                  <w:r>
                    <w:t>Macrovesicular</w:t>
                  </w:r>
                  <w:proofErr w:type="spellEnd"/>
                  <w:r>
                    <w:t xml:space="preserve"> </w:t>
                  </w:r>
                  <w:proofErr w:type="spellStart"/>
                  <w:r>
                    <w:t>hepatocyte</w:t>
                  </w:r>
                  <w:proofErr w:type="spellEnd"/>
                  <w:r>
                    <w:t xml:space="preserve"> fat deposition has been described with </w:t>
                  </w:r>
                  <w:proofErr w:type="spellStart"/>
                  <w:r w:rsidRPr="00926D35">
                    <w:rPr>
                      <w:highlight w:val="yellow"/>
                    </w:rPr>
                    <w:t>tamoxifen</w:t>
                  </w:r>
                  <w:proofErr w:type="spellEnd"/>
                  <w:r>
                    <w:t xml:space="preserve">, and </w:t>
                  </w:r>
                  <w:proofErr w:type="spellStart"/>
                  <w:r w:rsidRPr="00926D35">
                    <w:rPr>
                      <w:highlight w:val="yellow"/>
                    </w:rPr>
                    <w:t>amiodarone</w:t>
                  </w:r>
                  <w:proofErr w:type="spellEnd"/>
                  <w:r>
                    <w:t xml:space="preserve"> toxicity can produce a similar histological picture to NASH (</w:t>
                  </w:r>
                  <w:hyperlink r:id="rId10" w:anchor="P0971" w:tooltip="Go here now" w:history="1">
                    <w:r>
                      <w:rPr>
                        <w:rStyle w:val="Hyperlink"/>
                      </w:rPr>
                      <w:t>p. 971</w:t>
                    </w:r>
                  </w:hyperlink>
                  <w:r>
                    <w:t xml:space="preserve">).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Pr="00926D35" w:rsidRDefault="005E6458">
                  <w:pPr>
                    <w:rPr>
                      <w:color w:val="00B050"/>
                      <w:sz w:val="24"/>
                      <w:szCs w:val="24"/>
                    </w:rPr>
                  </w:pPr>
                  <w:bookmarkStart w:id="119" w:name="HC023180"/>
                  <w:bookmarkEnd w:id="119"/>
                  <w:r w:rsidRPr="00926D35">
                    <w:rPr>
                      <w:color w:val="00B050"/>
                    </w:rPr>
                    <w:t xml:space="preserve">Vascular/sinusoidal lesions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pPr>
                    <w:rPr>
                      <w:sz w:val="24"/>
                      <w:szCs w:val="24"/>
                    </w:rPr>
                  </w:pPr>
                  <w:bookmarkStart w:id="120" w:name="P023306"/>
                  <w:bookmarkEnd w:id="120"/>
                  <w:r>
                    <w:t xml:space="preserve">Drugs such as </w:t>
                  </w:r>
                  <w:proofErr w:type="spellStart"/>
                  <w:r w:rsidRPr="00926D35">
                    <w:rPr>
                      <w:highlight w:val="yellow"/>
                    </w:rPr>
                    <w:t>alkylating</w:t>
                  </w:r>
                  <w:proofErr w:type="spellEnd"/>
                  <w:r>
                    <w:t xml:space="preserve"> </w:t>
                  </w:r>
                  <w:r w:rsidRPr="00926D35">
                    <w:rPr>
                      <w:highlight w:val="yellow"/>
                    </w:rPr>
                    <w:t>agents</w:t>
                  </w:r>
                  <w:r>
                    <w:t xml:space="preserve"> used in oncology can damage the vascular endothelium and lead to hepatic venous outflow obstruction. Chronic overdose of </w:t>
                  </w:r>
                  <w:r w:rsidRPr="00926D35">
                    <w:rPr>
                      <w:highlight w:val="yellow"/>
                    </w:rPr>
                    <w:t>vitamin</w:t>
                  </w:r>
                  <w:r>
                    <w:t xml:space="preserve"> </w:t>
                  </w:r>
                  <w:r w:rsidRPr="00926D35">
                    <w:rPr>
                      <w:highlight w:val="yellow"/>
                    </w:rPr>
                    <w:t>A</w:t>
                  </w:r>
                  <w:r>
                    <w:t xml:space="preserve"> will also damage the sinusoids and trigger local fibrosis that can result in portal hypertension.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Pr="00926D35" w:rsidRDefault="005E6458">
                  <w:pPr>
                    <w:rPr>
                      <w:color w:val="00B050"/>
                      <w:sz w:val="24"/>
                      <w:szCs w:val="24"/>
                    </w:rPr>
                  </w:pPr>
                  <w:bookmarkStart w:id="121" w:name="HC023181"/>
                  <w:bookmarkEnd w:id="121"/>
                  <w:r w:rsidRPr="00926D35">
                    <w:rPr>
                      <w:color w:val="00B050"/>
                    </w:rPr>
                    <w:t xml:space="preserve">Hepatic fibrosis </w:t>
                  </w:r>
                </w:p>
              </w:tc>
            </w:tr>
          </w:tbl>
          <w:p w:rsidR="005E6458" w:rsidRDefault="005E6458" w:rsidP="005E6458">
            <w:pPr>
              <w:rPr>
                <w:vanish/>
              </w:rPr>
            </w:pPr>
          </w:p>
          <w:tbl>
            <w:tblPr>
              <w:tblW w:w="5000" w:type="pct"/>
              <w:tblCellSpacing w:w="0" w:type="dxa"/>
              <w:tblCellMar>
                <w:left w:w="0" w:type="dxa"/>
                <w:right w:w="0" w:type="dxa"/>
              </w:tblCellMar>
              <w:tblLook w:val="04A0"/>
            </w:tblPr>
            <w:tblGrid>
              <w:gridCol w:w="8640"/>
            </w:tblGrid>
            <w:tr w:rsidR="005E6458" w:rsidTr="005E6458">
              <w:trPr>
                <w:tblCellSpacing w:w="0" w:type="dxa"/>
              </w:trPr>
              <w:tc>
                <w:tcPr>
                  <w:tcW w:w="5000" w:type="pct"/>
                  <w:shd w:val="clear" w:color="auto" w:fill="FFFFFF"/>
                  <w:vAlign w:val="center"/>
                  <w:hideMark/>
                </w:tcPr>
                <w:p w:rsidR="005E6458" w:rsidRDefault="005E6458">
                  <w:bookmarkStart w:id="122" w:name="P023307"/>
                  <w:bookmarkEnd w:id="122"/>
                  <w:r w:rsidRPr="00EB1306">
                    <w:t xml:space="preserve">Most drugs cause reversible liver injury and hepatic fibrosis is very uncommon. </w:t>
                  </w:r>
                  <w:proofErr w:type="spellStart"/>
                  <w:r w:rsidRPr="00EB1306">
                    <w:t>Methotrexate</w:t>
                  </w:r>
                  <w:proofErr w:type="spellEnd"/>
                  <w:r w:rsidRPr="00EB1306">
                    <w:t>, however, as well as causing acute liver injury when it is started, can lead to cirrhosis when used in high doses over a long period of time. Risk factors for drug-induced hepatic fibrosis include pre-existing liver disease and a high alcohol intake</w:t>
                  </w:r>
                </w:p>
                <w:tbl>
                  <w:tblPr>
                    <w:tblW w:w="5000" w:type="pct"/>
                    <w:tblCellSpacing w:w="0" w:type="dxa"/>
                    <w:tblCellMar>
                      <w:left w:w="0" w:type="dxa"/>
                      <w:right w:w="0" w:type="dxa"/>
                    </w:tblCellMar>
                    <w:tblLook w:val="04A0"/>
                  </w:tblPr>
                  <w:tblGrid>
                    <w:gridCol w:w="8640"/>
                  </w:tblGrid>
                  <w:tr w:rsidR="00EB1306">
                    <w:trPr>
                      <w:tblCellSpacing w:w="0" w:type="dxa"/>
                    </w:trPr>
                    <w:tc>
                      <w:tcPr>
                        <w:tcW w:w="5000" w:type="pct"/>
                        <w:shd w:val="clear" w:color="auto" w:fill="FFFFFF"/>
                        <w:vAlign w:val="center"/>
                        <w:hideMark/>
                      </w:tcPr>
                      <w:p w:rsidR="00EB1306" w:rsidRDefault="00EB1306">
                        <w:pPr>
                          <w:rPr>
                            <w:sz w:val="24"/>
                            <w:szCs w:val="24"/>
                          </w:rPr>
                        </w:pPr>
                        <w:bookmarkStart w:id="123" w:name="HC023182"/>
                        <w:bookmarkEnd w:id="123"/>
                        <w:r>
                          <w:t xml:space="preserve">DRUGS TO AVOID IN CIRRHOSIS </w:t>
                        </w:r>
                      </w:p>
                    </w:tc>
                  </w:tr>
                </w:tbl>
                <w:p w:rsidR="00EB1306" w:rsidRDefault="00EB1306" w:rsidP="00EB1306">
                  <w:pPr>
                    <w:rPr>
                      <w:vanish/>
                    </w:rPr>
                  </w:pPr>
                </w:p>
                <w:tbl>
                  <w:tblPr>
                    <w:tblW w:w="5000" w:type="pct"/>
                    <w:tblCellSpacing w:w="0" w:type="dxa"/>
                    <w:tblCellMar>
                      <w:left w:w="0" w:type="dxa"/>
                      <w:right w:w="0" w:type="dxa"/>
                    </w:tblCellMar>
                    <w:tblLook w:val="04A0"/>
                  </w:tblPr>
                  <w:tblGrid>
                    <w:gridCol w:w="8640"/>
                  </w:tblGrid>
                  <w:tr w:rsidR="00EB1306">
                    <w:trPr>
                      <w:tblCellSpacing w:w="0" w:type="dxa"/>
                    </w:trPr>
                    <w:tc>
                      <w:tcPr>
                        <w:tcW w:w="5000" w:type="pct"/>
                        <w:shd w:val="clear" w:color="auto" w:fill="FFFFFF"/>
                        <w:vAlign w:val="center"/>
                        <w:hideMark/>
                      </w:tcPr>
                      <w:p w:rsidR="00EB1306" w:rsidRDefault="00EB1306">
                        <w:pPr>
                          <w:rPr>
                            <w:sz w:val="24"/>
                            <w:szCs w:val="24"/>
                          </w:rPr>
                        </w:pPr>
                        <w:bookmarkStart w:id="124" w:name="P023308"/>
                        <w:bookmarkEnd w:id="124"/>
                        <w:r>
                          <w:t>Most analgesics can precipitate complications and need to be used cautiously in cirrhosis (</w:t>
                        </w:r>
                        <w:hyperlink r:id="rId11" w:anchor="B023052" w:tooltip="Go here now" w:history="1">
                          <w:r>
                            <w:rPr>
                              <w:rStyle w:val="Hyperlink"/>
                            </w:rPr>
                            <w:t>Box 23.52</w:t>
                          </w:r>
                        </w:hyperlink>
                        <w:r>
                          <w:t xml:space="preserve">). NSAIDs are </w:t>
                        </w:r>
                        <w:proofErr w:type="spellStart"/>
                        <w:r>
                          <w:t>hepatotoxic</w:t>
                        </w:r>
                        <w:proofErr w:type="spellEnd"/>
                        <w:r>
                          <w:t xml:space="preserve"> and can potentiate </w:t>
                        </w:r>
                        <w:proofErr w:type="spellStart"/>
                        <w:r>
                          <w:t>hepatorenal</w:t>
                        </w:r>
                        <w:proofErr w:type="spellEnd"/>
                        <w:r>
                          <w:t xml:space="preserve"> failure; they should therefore be avoided in cirrhosis. </w:t>
                        </w:r>
                        <w:proofErr w:type="spellStart"/>
                        <w:r>
                          <w:t>Paracetamol</w:t>
                        </w:r>
                        <w:proofErr w:type="spellEnd"/>
                        <w:r>
                          <w:t xml:space="preserve"> up to a dose of 3 g/day can be used safely in chronic liver disease but higher doses may result in acute hepatic necrosis, particularly in patients with alcoholic liver disease. </w:t>
                        </w:r>
                      </w:p>
                    </w:tc>
                  </w:tr>
                </w:tbl>
                <w:p w:rsidR="00EB1306" w:rsidRDefault="00EB1306" w:rsidP="00EB1306">
                  <w:pPr>
                    <w:rPr>
                      <w:vanish/>
                    </w:rPr>
                  </w:pPr>
                </w:p>
                <w:tbl>
                  <w:tblPr>
                    <w:tblW w:w="4000" w:type="pct"/>
                    <w:jc w:val="center"/>
                    <w:tblCellSpacing w:w="0" w:type="dxa"/>
                    <w:tblCellMar>
                      <w:left w:w="0" w:type="dxa"/>
                      <w:right w:w="0" w:type="dxa"/>
                    </w:tblCellMar>
                    <w:tblLook w:val="04A0"/>
                  </w:tblPr>
                  <w:tblGrid>
                    <w:gridCol w:w="6912"/>
                  </w:tblGrid>
                  <w:tr w:rsidR="00EB1306">
                    <w:trPr>
                      <w:tblCellSpacing w:w="0" w:type="dxa"/>
                      <w:jc w:val="center"/>
                    </w:trPr>
                    <w:tc>
                      <w:tcPr>
                        <w:tcW w:w="5000" w:type="pct"/>
                        <w:vAlign w:val="center"/>
                        <w:hideMark/>
                      </w:tcPr>
                      <w:p w:rsidR="00EB1306" w:rsidRDefault="00EB1306">
                        <w:pPr>
                          <w:rPr>
                            <w:sz w:val="24"/>
                            <w:szCs w:val="24"/>
                          </w:rPr>
                        </w:pPr>
                        <w:bookmarkStart w:id="125" w:name="B023052"/>
                        <w:bookmarkEnd w:id="125"/>
                        <w:r>
                          <w:t>23.52 DRUGS TO BE AVOIDED IN CIRRHOSIS</w:t>
                        </w:r>
                      </w:p>
                    </w:tc>
                  </w:tr>
                </w:tbl>
                <w:p w:rsidR="00EB1306" w:rsidRDefault="00EB1306" w:rsidP="00EB1306">
                  <w:pPr>
                    <w:rPr>
                      <w:vanish/>
                    </w:rPr>
                  </w:pPr>
                  <w:bookmarkStart w:id="126" w:name="TI023038"/>
                  <w:bookmarkEnd w:id="126"/>
                </w:p>
                <w:tbl>
                  <w:tblPr>
                    <w:tblW w:w="0" w:type="auto"/>
                    <w:jc w:val="center"/>
                    <w:tblCellSpacing w:w="0" w:type="dxa"/>
                    <w:tblCellMar>
                      <w:top w:w="15" w:type="dxa"/>
                      <w:left w:w="15" w:type="dxa"/>
                      <w:bottom w:w="15" w:type="dxa"/>
                      <w:right w:w="15" w:type="dxa"/>
                    </w:tblCellMar>
                    <w:tblLook w:val="04A0"/>
                  </w:tblPr>
                  <w:tblGrid>
                    <w:gridCol w:w="1314"/>
                    <w:gridCol w:w="2320"/>
                    <w:gridCol w:w="2205"/>
                  </w:tblGrid>
                  <w:tr w:rsidR="00EB1306">
                    <w:trPr>
                      <w:tblCellSpacing w:w="0" w:type="dxa"/>
                      <w:jc w:val="center"/>
                    </w:trPr>
                    <w:tc>
                      <w:tcPr>
                        <w:tcW w:w="0" w:type="auto"/>
                        <w:vAlign w:val="bottom"/>
                        <w:hideMark/>
                      </w:tcPr>
                      <w:p w:rsidR="00EB1306" w:rsidRDefault="00EB1306">
                        <w:pPr>
                          <w:rPr>
                            <w:sz w:val="24"/>
                            <w:szCs w:val="24"/>
                          </w:rPr>
                        </w:pPr>
                        <w:bookmarkStart w:id="127" w:name="TI023038.50"/>
                        <w:bookmarkEnd w:id="127"/>
                        <w:r>
                          <w:rPr>
                            <w:b/>
                            <w:bCs/>
                          </w:rPr>
                          <w:t>Drug</w:t>
                        </w:r>
                      </w:p>
                    </w:tc>
                    <w:tc>
                      <w:tcPr>
                        <w:tcW w:w="0" w:type="auto"/>
                        <w:vAlign w:val="bottom"/>
                        <w:hideMark/>
                      </w:tcPr>
                      <w:p w:rsidR="00EB1306" w:rsidRDefault="00EB1306">
                        <w:pPr>
                          <w:rPr>
                            <w:sz w:val="24"/>
                            <w:szCs w:val="24"/>
                          </w:rPr>
                        </w:pPr>
                        <w:r>
                          <w:rPr>
                            <w:b/>
                            <w:bCs/>
                          </w:rPr>
                          <w:t>Problem</w:t>
                        </w:r>
                      </w:p>
                    </w:tc>
                    <w:tc>
                      <w:tcPr>
                        <w:tcW w:w="0" w:type="auto"/>
                        <w:vAlign w:val="bottom"/>
                        <w:hideMark/>
                      </w:tcPr>
                      <w:p w:rsidR="00EB1306" w:rsidRDefault="00EB1306">
                        <w:pPr>
                          <w:rPr>
                            <w:sz w:val="24"/>
                            <w:szCs w:val="24"/>
                          </w:rPr>
                        </w:pPr>
                        <w:r>
                          <w:rPr>
                            <w:b/>
                            <w:bCs/>
                          </w:rPr>
                          <w:t>Toxicity</w:t>
                        </w:r>
                      </w:p>
                    </w:tc>
                  </w:tr>
                  <w:tr w:rsidR="00EB1306">
                    <w:trPr>
                      <w:tblCellSpacing w:w="0" w:type="dxa"/>
                      <w:jc w:val="center"/>
                    </w:trPr>
                    <w:tc>
                      <w:tcPr>
                        <w:tcW w:w="0" w:type="auto"/>
                        <w:shd w:val="clear" w:color="auto" w:fill="FFFFFF"/>
                        <w:hideMark/>
                      </w:tcPr>
                      <w:p w:rsidR="00EB1306" w:rsidRDefault="00EB1306">
                        <w:pPr>
                          <w:rPr>
                            <w:sz w:val="24"/>
                            <w:szCs w:val="24"/>
                          </w:rPr>
                        </w:pPr>
                        <w:bookmarkStart w:id="128" w:name="TI023038.100"/>
                        <w:bookmarkEnd w:id="128"/>
                        <w:r>
                          <w:rPr>
                            <w:b/>
                            <w:bCs/>
                          </w:rPr>
                          <w:t>NSAIDs</w:t>
                        </w:r>
                      </w:p>
                    </w:tc>
                    <w:tc>
                      <w:tcPr>
                        <w:tcW w:w="0" w:type="auto"/>
                        <w:shd w:val="clear" w:color="auto" w:fill="FFFFFF"/>
                        <w:hideMark/>
                      </w:tcPr>
                      <w:p w:rsidR="00EB1306" w:rsidRDefault="00EB1306">
                        <w:pPr>
                          <w:rPr>
                            <w:sz w:val="24"/>
                            <w:szCs w:val="24"/>
                          </w:rPr>
                        </w:pPr>
                        <w:r>
                          <w:t>Reduced renal blood flow</w:t>
                        </w:r>
                        <w:r>
                          <w:br/>
                          <w:t>Ulceration</w:t>
                        </w:r>
                      </w:p>
                    </w:tc>
                    <w:tc>
                      <w:tcPr>
                        <w:tcW w:w="0" w:type="auto"/>
                        <w:shd w:val="clear" w:color="auto" w:fill="FFFFFF"/>
                        <w:hideMark/>
                      </w:tcPr>
                      <w:p w:rsidR="00EB1306" w:rsidRDefault="00EB1306">
                        <w:pPr>
                          <w:rPr>
                            <w:sz w:val="24"/>
                            <w:szCs w:val="24"/>
                          </w:rPr>
                        </w:pPr>
                        <w:proofErr w:type="spellStart"/>
                        <w:r>
                          <w:t>Hepatorenal</w:t>
                        </w:r>
                        <w:proofErr w:type="spellEnd"/>
                        <w:r>
                          <w:t xml:space="preserve"> failure</w:t>
                        </w:r>
                        <w:r>
                          <w:br/>
                          <w:t xml:space="preserve">Bleeding </w:t>
                        </w:r>
                        <w:proofErr w:type="spellStart"/>
                        <w:r>
                          <w:t>varices</w:t>
                        </w:r>
                        <w:proofErr w:type="spellEnd"/>
                      </w:p>
                    </w:tc>
                  </w:tr>
                  <w:tr w:rsidR="00EB1306">
                    <w:trPr>
                      <w:tblCellSpacing w:w="0" w:type="dxa"/>
                      <w:jc w:val="center"/>
                    </w:trPr>
                    <w:tc>
                      <w:tcPr>
                        <w:tcW w:w="0" w:type="auto"/>
                        <w:shd w:val="clear" w:color="auto" w:fill="FFFFFF"/>
                        <w:hideMark/>
                      </w:tcPr>
                      <w:p w:rsidR="00EB1306" w:rsidRDefault="00EB1306">
                        <w:pPr>
                          <w:rPr>
                            <w:sz w:val="24"/>
                            <w:szCs w:val="24"/>
                          </w:rPr>
                        </w:pPr>
                        <w:bookmarkStart w:id="129" w:name="TI023038.150"/>
                        <w:bookmarkEnd w:id="129"/>
                        <w:r>
                          <w:rPr>
                            <w:b/>
                            <w:bCs/>
                          </w:rPr>
                          <w:t>ACE inhibitors</w:t>
                        </w:r>
                      </w:p>
                    </w:tc>
                    <w:tc>
                      <w:tcPr>
                        <w:tcW w:w="0" w:type="auto"/>
                        <w:shd w:val="clear" w:color="auto" w:fill="FFFFFF"/>
                        <w:hideMark/>
                      </w:tcPr>
                      <w:p w:rsidR="00EB1306" w:rsidRDefault="00EB1306">
                        <w:pPr>
                          <w:rPr>
                            <w:sz w:val="24"/>
                            <w:szCs w:val="24"/>
                          </w:rPr>
                        </w:pPr>
                        <w:r>
                          <w:t>Reduced renal blood flow</w:t>
                        </w:r>
                      </w:p>
                    </w:tc>
                    <w:tc>
                      <w:tcPr>
                        <w:tcW w:w="0" w:type="auto"/>
                        <w:shd w:val="clear" w:color="auto" w:fill="FFFFFF"/>
                        <w:hideMark/>
                      </w:tcPr>
                      <w:p w:rsidR="00EB1306" w:rsidRDefault="00EB1306">
                        <w:pPr>
                          <w:rPr>
                            <w:sz w:val="24"/>
                            <w:szCs w:val="24"/>
                          </w:rPr>
                        </w:pPr>
                        <w:proofErr w:type="spellStart"/>
                        <w:r>
                          <w:t>Hepatorenal</w:t>
                        </w:r>
                        <w:proofErr w:type="spellEnd"/>
                        <w:r>
                          <w:t xml:space="preserve"> failure</w:t>
                        </w:r>
                      </w:p>
                    </w:tc>
                  </w:tr>
                  <w:tr w:rsidR="00EB1306">
                    <w:trPr>
                      <w:tblCellSpacing w:w="0" w:type="dxa"/>
                      <w:jc w:val="center"/>
                    </w:trPr>
                    <w:tc>
                      <w:tcPr>
                        <w:tcW w:w="0" w:type="auto"/>
                        <w:shd w:val="clear" w:color="auto" w:fill="FFFFFF"/>
                        <w:hideMark/>
                      </w:tcPr>
                      <w:p w:rsidR="00EB1306" w:rsidRDefault="00EB1306">
                        <w:pPr>
                          <w:rPr>
                            <w:sz w:val="24"/>
                            <w:szCs w:val="24"/>
                          </w:rPr>
                        </w:pPr>
                        <w:bookmarkStart w:id="130" w:name="TI023038.200"/>
                        <w:bookmarkEnd w:id="130"/>
                        <w:r>
                          <w:rPr>
                            <w:b/>
                            <w:bCs/>
                          </w:rPr>
                          <w:t>Codeine</w:t>
                        </w:r>
                      </w:p>
                    </w:tc>
                    <w:tc>
                      <w:tcPr>
                        <w:tcW w:w="0" w:type="auto"/>
                        <w:shd w:val="clear" w:color="auto" w:fill="FFFFFF"/>
                        <w:hideMark/>
                      </w:tcPr>
                      <w:p w:rsidR="00EB1306" w:rsidRDefault="00EB1306">
                        <w:pPr>
                          <w:rPr>
                            <w:sz w:val="24"/>
                            <w:szCs w:val="24"/>
                          </w:rPr>
                        </w:pPr>
                        <w:r>
                          <w:t>Constipation</w:t>
                        </w:r>
                      </w:p>
                    </w:tc>
                    <w:tc>
                      <w:tcPr>
                        <w:tcW w:w="0" w:type="auto"/>
                        <w:shd w:val="clear" w:color="auto" w:fill="FFFFFF"/>
                        <w:hideMark/>
                      </w:tcPr>
                      <w:p w:rsidR="00EB1306" w:rsidRDefault="00EB1306">
                        <w:pPr>
                          <w:rPr>
                            <w:sz w:val="24"/>
                            <w:szCs w:val="24"/>
                          </w:rPr>
                        </w:pPr>
                        <w:r>
                          <w:t>Hepatic encephalopathy</w:t>
                        </w:r>
                      </w:p>
                    </w:tc>
                  </w:tr>
                  <w:tr w:rsidR="00EB1306">
                    <w:trPr>
                      <w:tblCellSpacing w:w="0" w:type="dxa"/>
                      <w:jc w:val="center"/>
                    </w:trPr>
                    <w:tc>
                      <w:tcPr>
                        <w:tcW w:w="0" w:type="auto"/>
                        <w:shd w:val="clear" w:color="auto" w:fill="FFFFFF"/>
                        <w:hideMark/>
                      </w:tcPr>
                      <w:p w:rsidR="00EB1306" w:rsidRDefault="00EB1306">
                        <w:pPr>
                          <w:rPr>
                            <w:sz w:val="24"/>
                            <w:szCs w:val="24"/>
                          </w:rPr>
                        </w:pPr>
                        <w:bookmarkStart w:id="131" w:name="TI023038.250"/>
                        <w:bookmarkEnd w:id="131"/>
                        <w:r>
                          <w:rPr>
                            <w:b/>
                            <w:bCs/>
                          </w:rPr>
                          <w:t>Narcotics</w:t>
                        </w:r>
                      </w:p>
                    </w:tc>
                    <w:tc>
                      <w:tcPr>
                        <w:tcW w:w="0" w:type="auto"/>
                        <w:shd w:val="clear" w:color="auto" w:fill="FFFFFF"/>
                        <w:hideMark/>
                      </w:tcPr>
                      <w:p w:rsidR="00EB1306" w:rsidRDefault="00EB1306">
                        <w:pPr>
                          <w:rPr>
                            <w:sz w:val="24"/>
                            <w:szCs w:val="24"/>
                          </w:rPr>
                        </w:pPr>
                        <w:r>
                          <w:t>Constipation</w:t>
                        </w:r>
                        <w:r>
                          <w:br/>
                          <w:t>Drug accumulation</w:t>
                        </w:r>
                      </w:p>
                    </w:tc>
                    <w:tc>
                      <w:tcPr>
                        <w:tcW w:w="0" w:type="auto"/>
                        <w:shd w:val="clear" w:color="auto" w:fill="FFFFFF"/>
                        <w:hideMark/>
                      </w:tcPr>
                      <w:p w:rsidR="00EB1306" w:rsidRDefault="00EB1306">
                        <w:pPr>
                          <w:rPr>
                            <w:sz w:val="24"/>
                            <w:szCs w:val="24"/>
                          </w:rPr>
                        </w:pPr>
                        <w:r>
                          <w:t>Hepatic encephalopathy</w:t>
                        </w:r>
                      </w:p>
                    </w:tc>
                  </w:tr>
                  <w:tr w:rsidR="00EB1306">
                    <w:trPr>
                      <w:tblCellSpacing w:w="0" w:type="dxa"/>
                      <w:jc w:val="center"/>
                    </w:trPr>
                    <w:tc>
                      <w:tcPr>
                        <w:tcW w:w="0" w:type="auto"/>
                        <w:shd w:val="clear" w:color="auto" w:fill="FFFFFF"/>
                        <w:hideMark/>
                      </w:tcPr>
                      <w:p w:rsidR="00EB1306" w:rsidRDefault="00EB1306">
                        <w:pPr>
                          <w:rPr>
                            <w:sz w:val="24"/>
                            <w:szCs w:val="24"/>
                          </w:rPr>
                        </w:pPr>
                        <w:bookmarkStart w:id="132" w:name="TI023038.300"/>
                        <w:bookmarkEnd w:id="132"/>
                        <w:proofErr w:type="spellStart"/>
                        <w:r>
                          <w:rPr>
                            <w:b/>
                            <w:bCs/>
                          </w:rPr>
                          <w:t>Anxiolytics</w:t>
                        </w:r>
                        <w:proofErr w:type="spellEnd"/>
                      </w:p>
                    </w:tc>
                    <w:tc>
                      <w:tcPr>
                        <w:tcW w:w="0" w:type="auto"/>
                        <w:shd w:val="clear" w:color="auto" w:fill="FFFFFF"/>
                        <w:hideMark/>
                      </w:tcPr>
                      <w:p w:rsidR="00EB1306" w:rsidRDefault="00EB1306">
                        <w:pPr>
                          <w:rPr>
                            <w:sz w:val="24"/>
                            <w:szCs w:val="24"/>
                          </w:rPr>
                        </w:pPr>
                        <w:r>
                          <w:t>Drug accumulation</w:t>
                        </w:r>
                      </w:p>
                    </w:tc>
                    <w:tc>
                      <w:tcPr>
                        <w:tcW w:w="0" w:type="auto"/>
                        <w:shd w:val="clear" w:color="auto" w:fill="FFFFFF"/>
                        <w:hideMark/>
                      </w:tcPr>
                      <w:p w:rsidR="00EB1306" w:rsidRDefault="00EB1306">
                        <w:pPr>
                          <w:rPr>
                            <w:sz w:val="24"/>
                            <w:szCs w:val="24"/>
                          </w:rPr>
                        </w:pPr>
                        <w:r>
                          <w:t>Hepatic encephalopathy</w:t>
                        </w:r>
                      </w:p>
                    </w:tc>
                  </w:tr>
                </w:tbl>
                <w:p w:rsidR="00EB1306" w:rsidRPr="00EB1306" w:rsidRDefault="00EB1306">
                  <w:pPr>
                    <w:rPr>
                      <w:sz w:val="24"/>
                      <w:szCs w:val="24"/>
                    </w:rPr>
                  </w:pPr>
                </w:p>
              </w:tc>
            </w:tr>
          </w:tbl>
          <w:p w:rsidR="00495082" w:rsidRDefault="00495082" w:rsidP="00495082"/>
          <w:p w:rsidR="005E6458" w:rsidRDefault="005E6458" w:rsidP="00495082">
            <w:pPr>
              <w:rPr>
                <w:sz w:val="24"/>
                <w:szCs w:val="24"/>
              </w:rPr>
            </w:pPr>
          </w:p>
        </w:tc>
      </w:tr>
    </w:tbl>
    <w:p w:rsidR="00495082" w:rsidRDefault="00495082" w:rsidP="00495082">
      <w:pPr>
        <w:rPr>
          <w:vanish/>
        </w:rPr>
      </w:pPr>
    </w:p>
    <w:tbl>
      <w:tblPr>
        <w:tblW w:w="5000" w:type="pct"/>
        <w:tblCellSpacing w:w="0" w:type="dxa"/>
        <w:tblCellMar>
          <w:left w:w="0" w:type="dxa"/>
          <w:right w:w="0" w:type="dxa"/>
        </w:tblCellMar>
        <w:tblLook w:val="04A0"/>
      </w:tblPr>
      <w:tblGrid>
        <w:gridCol w:w="329"/>
        <w:gridCol w:w="61"/>
        <w:gridCol w:w="8250"/>
      </w:tblGrid>
      <w:tr w:rsidR="00495082">
        <w:trPr>
          <w:tblCellSpacing w:w="0" w:type="dxa"/>
        </w:trPr>
        <w:tc>
          <w:tcPr>
            <w:tcW w:w="270" w:type="dxa"/>
            <w:vAlign w:val="center"/>
            <w:hideMark/>
          </w:tcPr>
          <w:p w:rsidR="00495082" w:rsidRDefault="00495082">
            <w:pPr>
              <w:rPr>
                <w:sz w:val="24"/>
                <w:szCs w:val="24"/>
              </w:rPr>
            </w:pPr>
            <w:hyperlink r:id="rId12" w:tgtFrame="content" w:history="1">
              <w:r>
                <w:rPr>
                  <w:color w:val="0000FF"/>
                </w:rPr>
                <w:pict>
                  <v:shape id="_x0000_i1029" type="#_x0000_t75" alt="Previous section" href="mk:@MSITStore:C:\Davidson's%20Principles%20&amp;%20Practice%20of%20Medicine%2020th.2007.Ed.CHM::/www.studentconsult.com/content/bookcontent.cfm@id=hc023161.htm" target="content" style="width:16.2pt;height:12.95pt" o:button="t"/>
                </w:pict>
              </w:r>
            </w:hyperlink>
          </w:p>
        </w:tc>
        <w:tc>
          <w:tcPr>
            <w:tcW w:w="60" w:type="dxa"/>
            <w:vAlign w:val="center"/>
            <w:hideMark/>
          </w:tcPr>
          <w:p w:rsidR="00495082" w:rsidRDefault="00495082">
            <w:pPr>
              <w:rPr>
                <w:sz w:val="24"/>
                <w:szCs w:val="24"/>
              </w:rPr>
            </w:pPr>
            <w:r>
              <w:pict>
                <v:shape id="_x0000_i1030" type="#_x0000_t75" alt="" style="width:3.25pt;height:.65pt"/>
              </w:pict>
            </w:r>
          </w:p>
        </w:tc>
        <w:tc>
          <w:tcPr>
            <w:tcW w:w="0" w:type="auto"/>
            <w:vAlign w:val="center"/>
            <w:hideMark/>
          </w:tcPr>
          <w:tbl>
            <w:tblPr>
              <w:tblW w:w="5000" w:type="pct"/>
              <w:tblCellSpacing w:w="0" w:type="dxa"/>
              <w:tblCellMar>
                <w:left w:w="0" w:type="dxa"/>
                <w:right w:w="0" w:type="dxa"/>
              </w:tblCellMar>
              <w:tblLook w:val="04A0"/>
            </w:tblPr>
            <w:tblGrid>
              <w:gridCol w:w="74"/>
              <w:gridCol w:w="8176"/>
            </w:tblGrid>
            <w:tr w:rsidR="00495082">
              <w:trPr>
                <w:tblCellSpacing w:w="0" w:type="dxa"/>
              </w:trPr>
              <w:tc>
                <w:tcPr>
                  <w:tcW w:w="75" w:type="dxa"/>
                  <w:vMerge w:val="restart"/>
                  <w:vAlign w:val="center"/>
                  <w:hideMark/>
                </w:tcPr>
                <w:p w:rsidR="00495082" w:rsidRDefault="00495082">
                  <w:pPr>
                    <w:rPr>
                      <w:sz w:val="24"/>
                      <w:szCs w:val="24"/>
                    </w:rPr>
                  </w:pPr>
                  <w:r>
                    <w:pict>
                      <v:shape id="_x0000_i1031" type="#_x0000_t75" alt="Bar end" style="width:3.9pt;height:12.95pt"/>
                    </w:pict>
                  </w:r>
                </w:p>
              </w:tc>
              <w:tc>
                <w:tcPr>
                  <w:tcW w:w="5000" w:type="pct"/>
                  <w:vAlign w:val="center"/>
                  <w:hideMark/>
                </w:tcPr>
                <w:p w:rsidR="00495082" w:rsidRDefault="00495082">
                  <w:pPr>
                    <w:rPr>
                      <w:sz w:val="24"/>
                      <w:szCs w:val="24"/>
                    </w:rPr>
                  </w:pPr>
                  <w:r>
                    <w:pict>
                      <v:shape id="_x0000_i1032" type="#_x0000_t75" alt="" style="width:.65pt;height:.65pt"/>
                    </w:pict>
                  </w:r>
                </w:p>
              </w:tc>
            </w:tr>
            <w:tr w:rsidR="00495082">
              <w:trPr>
                <w:gridAfter w:val="1"/>
                <w:wAfter w:w="480" w:type="dxa"/>
                <w:trHeight w:val="537"/>
                <w:tblCellSpacing w:w="0" w:type="dxa"/>
              </w:trPr>
              <w:tc>
                <w:tcPr>
                  <w:tcW w:w="0" w:type="auto"/>
                  <w:vMerge/>
                  <w:vAlign w:val="center"/>
                  <w:hideMark/>
                </w:tcPr>
                <w:p w:rsidR="00495082" w:rsidRDefault="00495082">
                  <w:pPr>
                    <w:rPr>
                      <w:sz w:val="24"/>
                      <w:szCs w:val="24"/>
                    </w:rPr>
                  </w:pPr>
                </w:p>
              </w:tc>
            </w:tr>
          </w:tbl>
          <w:p w:rsidR="00495082" w:rsidRDefault="00495082">
            <w:pPr>
              <w:rPr>
                <w:sz w:val="24"/>
                <w:szCs w:val="24"/>
              </w:rPr>
            </w:pPr>
          </w:p>
        </w:tc>
      </w:tr>
    </w:tbl>
    <w:p w:rsidR="00126650" w:rsidRDefault="00126650"/>
    <w:sectPr w:rsidR="00126650" w:rsidSect="005B4185">
      <w:pgSz w:w="12240" w:h="15840"/>
      <w:pgMar w:top="630" w:right="1800" w:bottom="117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2BB7"/>
    <w:multiLevelType w:val="multilevel"/>
    <w:tmpl w:val="4D0E6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06047A"/>
    <w:multiLevelType w:val="multilevel"/>
    <w:tmpl w:val="E024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087D18"/>
    <w:multiLevelType w:val="multilevel"/>
    <w:tmpl w:val="D0446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A861AC"/>
    <w:multiLevelType w:val="multilevel"/>
    <w:tmpl w:val="AD6A60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E654C07"/>
    <w:multiLevelType w:val="multilevel"/>
    <w:tmpl w:val="F784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7E6953"/>
    <w:multiLevelType w:val="multilevel"/>
    <w:tmpl w:val="AD4CD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52A6915"/>
    <w:multiLevelType w:val="multilevel"/>
    <w:tmpl w:val="29ECB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C4561E"/>
    <w:multiLevelType w:val="multilevel"/>
    <w:tmpl w:val="ED3A4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5"/>
  </w:num>
  <w:num w:numId="4">
    <w:abstractNumId w:val="1"/>
  </w:num>
  <w:num w:numId="5">
    <w:abstractNumId w:val="2"/>
  </w:num>
  <w:num w:numId="6">
    <w:abstractNumId w:val="4"/>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20"/>
  <w:characterSpacingControl w:val="doNotCompress"/>
  <w:savePreviewPicture/>
  <w:compat>
    <w:useFELayout/>
  </w:compat>
  <w:rsids>
    <w:rsidRoot w:val="00742C0F"/>
    <w:rsid w:val="00126650"/>
    <w:rsid w:val="00495082"/>
    <w:rsid w:val="005B4185"/>
    <w:rsid w:val="005E6458"/>
    <w:rsid w:val="00742C0F"/>
    <w:rsid w:val="007A458A"/>
    <w:rsid w:val="007B2CB2"/>
    <w:rsid w:val="008E451C"/>
    <w:rsid w:val="008F0639"/>
    <w:rsid w:val="00926D35"/>
    <w:rsid w:val="00AC6B3A"/>
    <w:rsid w:val="00EB130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51C"/>
  </w:style>
  <w:style w:type="paragraph" w:styleId="Heading2">
    <w:name w:val="heading 2"/>
    <w:basedOn w:val="Normal"/>
    <w:next w:val="Normal"/>
    <w:link w:val="Heading2Char"/>
    <w:uiPriority w:val="9"/>
    <w:unhideWhenUsed/>
    <w:qFormat/>
    <w:rsid w:val="007A45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42C0F"/>
    <w:rPr>
      <w:color w:val="0000FF"/>
      <w:u w:val="single"/>
    </w:rPr>
  </w:style>
  <w:style w:type="character" w:customStyle="1" w:styleId="Heading2Char">
    <w:name w:val="Heading 2 Char"/>
    <w:basedOn w:val="DefaultParagraphFont"/>
    <w:link w:val="Heading2"/>
    <w:uiPriority w:val="9"/>
    <w:rsid w:val="007A458A"/>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491144497">
      <w:bodyDiv w:val="1"/>
      <w:marLeft w:val="0"/>
      <w:marRight w:val="0"/>
      <w:marTop w:val="0"/>
      <w:marBottom w:val="0"/>
      <w:divBdr>
        <w:top w:val="none" w:sz="0" w:space="0" w:color="auto"/>
        <w:left w:val="none" w:sz="0" w:space="0" w:color="auto"/>
        <w:bottom w:val="none" w:sz="0" w:space="0" w:color="auto"/>
        <w:right w:val="none" w:sz="0" w:space="0" w:color="auto"/>
      </w:divBdr>
      <w:divsChild>
        <w:div w:id="21326429">
          <w:marLeft w:val="0"/>
          <w:marRight w:val="0"/>
          <w:marTop w:val="0"/>
          <w:marBottom w:val="0"/>
          <w:divBdr>
            <w:top w:val="none" w:sz="0" w:space="0" w:color="auto"/>
            <w:left w:val="none" w:sz="0" w:space="0" w:color="auto"/>
            <w:bottom w:val="none" w:sz="0" w:space="0" w:color="auto"/>
            <w:right w:val="none" w:sz="0" w:space="0" w:color="auto"/>
          </w:divBdr>
        </w:div>
      </w:divsChild>
    </w:div>
    <w:div w:id="1561941405">
      <w:bodyDiv w:val="1"/>
      <w:marLeft w:val="0"/>
      <w:marRight w:val="0"/>
      <w:marTop w:val="0"/>
      <w:marBottom w:val="0"/>
      <w:divBdr>
        <w:top w:val="none" w:sz="0" w:space="0" w:color="auto"/>
        <w:left w:val="none" w:sz="0" w:space="0" w:color="auto"/>
        <w:bottom w:val="none" w:sz="0" w:space="0" w:color="auto"/>
        <w:right w:val="none" w:sz="0" w:space="0" w:color="auto"/>
      </w:divBdr>
      <w:divsChild>
        <w:div w:id="1078476366">
          <w:marLeft w:val="0"/>
          <w:marRight w:val="0"/>
          <w:marTop w:val="0"/>
          <w:marBottom w:val="0"/>
          <w:divBdr>
            <w:top w:val="none" w:sz="0" w:space="0" w:color="auto"/>
            <w:left w:val="none" w:sz="0" w:space="0" w:color="auto"/>
            <w:bottom w:val="none" w:sz="0" w:space="0" w:color="auto"/>
            <w:right w:val="none" w:sz="0" w:space="0" w:color="auto"/>
          </w:divBdr>
        </w:div>
      </w:divsChild>
    </w:div>
    <w:div w:id="1946813132">
      <w:bodyDiv w:val="1"/>
      <w:marLeft w:val="0"/>
      <w:marRight w:val="0"/>
      <w:marTop w:val="0"/>
      <w:marBottom w:val="0"/>
      <w:divBdr>
        <w:top w:val="none" w:sz="0" w:space="0" w:color="auto"/>
        <w:left w:val="none" w:sz="0" w:space="0" w:color="auto"/>
        <w:bottom w:val="none" w:sz="0" w:space="0" w:color="auto"/>
        <w:right w:val="none" w:sz="0" w:space="0" w:color="auto"/>
      </w:divBdr>
      <w:divsChild>
        <w:div w:id="1168591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k:@MSITStore:C:\Davidson's%20Principles%20&amp;%20Practice%20of%20Medicine%2020th.2007.Ed.CHM::/www.studentconsult.com/content/bookcontent.cfm@xrefid=b02306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k:@MSITStore:C:\Davidson's%20Principles%20&amp;%20Practice%20of%20Medicine%2020th.2007.Ed.CHM::/www.studentconsult.com/content/bookcontent.cfm@xrefid=p0208" TargetMode="External"/><Relationship Id="rId12" Type="http://schemas.openxmlformats.org/officeDocument/2006/relationships/hyperlink" Target="mk:@MSITStore:C:\Davidson's%20Principles%20&amp;%20Practice%20of%20Medicine%2020th.2007.Ed.CHM::/www.studentconsult.com/content/bookcontent.cfm@id=hc02316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k:@MSITStore:C:\Davidson's%20Principles%20&amp;%20Practice%20of%20Medicine%2020th.2007.Ed.CHM::/www.studentconsult.com/content/bookcontent.cfm@xrefid=b023051" TargetMode="External"/><Relationship Id="rId11" Type="http://schemas.openxmlformats.org/officeDocument/2006/relationships/hyperlink" Target="mk:@MSITStore:C:\Davidson's%20Principles%20&amp;%20Practice%20of%20Medicine%2020th.2007.Ed.CHM::/www.studentconsult.com/content/bookcontent.cfm@xrefid=b023052" TargetMode="External"/><Relationship Id="rId5" Type="http://schemas.openxmlformats.org/officeDocument/2006/relationships/hyperlink" Target="mk:@MSITStore:C:\Davidson's%20Principles%20&amp;%20Practice%20of%20Medicine%2020th.2007.Ed.CHM::/www.studentconsult.com/content/bookcontent.cfm@xrefid=b023050" TargetMode="External"/><Relationship Id="rId10" Type="http://schemas.openxmlformats.org/officeDocument/2006/relationships/hyperlink" Target="mk:@MSITStore:C:\Davidson's%20Principles%20&amp;%20Practice%20of%20Medicine%2020th.2007.Ed.CHM::/www.studentconsult.com/content/bookcontent.cfm@xrefid=p0971" TargetMode="External"/><Relationship Id="rId4" Type="http://schemas.openxmlformats.org/officeDocument/2006/relationships/webSettings" Target="webSettings.xml"/><Relationship Id="rId9" Type="http://schemas.openxmlformats.org/officeDocument/2006/relationships/hyperlink" Target="mk:@MSITStore:C:\Davidson's%20Principles%20&amp;%20Practice%20of%20Medicine%2020th.2007.Ed.CHM::/www.studentconsult.com/content/bookcontent.cfm@xrefid=p098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387</TotalTime>
  <Pages>1</Pages>
  <Words>3259</Words>
  <Characters>18579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M.A.F.H.H</dc:creator>
  <cp:keywords/>
  <dc:description/>
  <cp:lastModifiedBy>M.A.F.H.H</cp:lastModifiedBy>
  <cp:revision>4</cp:revision>
  <dcterms:created xsi:type="dcterms:W3CDTF">2011-03-24T03:54:00Z</dcterms:created>
  <dcterms:modified xsi:type="dcterms:W3CDTF">2011-03-24T10:42:00Z</dcterms:modified>
</cp:coreProperties>
</file>