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900" w:type="pct"/>
        <w:tblCellSpacing w:w="0" w:type="dxa"/>
        <w:tblCellMar>
          <w:top w:w="75" w:type="dxa"/>
          <w:left w:w="75" w:type="dxa"/>
          <w:bottom w:w="75" w:type="dxa"/>
          <w:right w:w="75" w:type="dxa"/>
        </w:tblCellMar>
        <w:tblLook w:val="04A0"/>
      </w:tblPr>
      <w:tblGrid>
        <w:gridCol w:w="8614"/>
      </w:tblGrid>
      <w:tr w:rsidR="003F4F50" w:rsidRPr="003F4F50" w:rsidTr="003F4F50">
        <w:trPr>
          <w:tblCellSpacing w:w="0" w:type="dxa"/>
        </w:trPr>
        <w:tc>
          <w:tcPr>
            <w:tcW w:w="0" w:type="auto"/>
            <w:vAlign w:val="center"/>
            <w:hideMark/>
          </w:tcPr>
          <w:tbl>
            <w:tblPr>
              <w:tblW w:w="5000" w:type="pct"/>
              <w:tblCellSpacing w:w="0" w:type="dxa"/>
              <w:tblCellMar>
                <w:left w:w="0" w:type="dxa"/>
                <w:right w:w="0" w:type="dxa"/>
              </w:tblCellMar>
              <w:tblLook w:val="04A0"/>
            </w:tblPr>
            <w:tblGrid>
              <w:gridCol w:w="8464"/>
            </w:tblGrid>
            <w:tr w:rsidR="003F4F50" w:rsidRPr="003F4F50">
              <w:trPr>
                <w:tblCellSpacing w:w="0" w:type="dxa"/>
              </w:trPr>
              <w:tc>
                <w:tcPr>
                  <w:tcW w:w="5000" w:type="pct"/>
                  <w:shd w:val="clear" w:color="auto" w:fill="FFFFFF"/>
                  <w:vAlign w:val="center"/>
                  <w:hideMark/>
                </w:tcPr>
                <w:p w:rsidR="003F4F50" w:rsidRPr="003F4F50" w:rsidRDefault="003F4F50" w:rsidP="003F4F50">
                  <w:pPr>
                    <w:spacing w:after="0" w:line="240" w:lineRule="auto"/>
                    <w:rPr>
                      <w:rFonts w:ascii="Times New Roman" w:eastAsia="Times New Roman" w:hAnsi="Times New Roman" w:cs="Times New Roman"/>
                      <w:color w:val="FF0000"/>
                      <w:sz w:val="24"/>
                      <w:szCs w:val="24"/>
                    </w:rPr>
                  </w:pPr>
                  <w:bookmarkStart w:id="0" w:name="HC023184"/>
                  <w:bookmarkEnd w:id="0"/>
                  <w:r w:rsidRPr="003F4F50">
                    <w:rPr>
                      <w:rFonts w:ascii="Times New Roman" w:eastAsia="Times New Roman" w:hAnsi="Times New Roman" w:cs="Times New Roman"/>
                      <w:color w:val="FF0000"/>
                      <w:sz w:val="24"/>
                      <w:szCs w:val="24"/>
                    </w:rPr>
                    <w:t xml:space="preserve">HAEMOCHROMATOSIS </w:t>
                  </w:r>
                </w:p>
              </w:tc>
            </w:tr>
          </w:tbl>
          <w:p w:rsidR="003F4F50" w:rsidRPr="003F4F50" w:rsidRDefault="003F4F50" w:rsidP="003F4F50">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8464"/>
            </w:tblGrid>
            <w:tr w:rsidR="003F4F50" w:rsidRPr="003F4F50">
              <w:trPr>
                <w:tblCellSpacing w:w="0" w:type="dxa"/>
              </w:trPr>
              <w:tc>
                <w:tcPr>
                  <w:tcW w:w="5000" w:type="pct"/>
                  <w:shd w:val="clear" w:color="auto" w:fill="FFFFFF"/>
                  <w:vAlign w:val="center"/>
                  <w:hideMark/>
                </w:tcPr>
                <w:p w:rsidR="003F4F50" w:rsidRPr="003F4F50" w:rsidRDefault="003F4F50" w:rsidP="003F4F50">
                  <w:pPr>
                    <w:spacing w:after="0" w:line="240" w:lineRule="auto"/>
                    <w:rPr>
                      <w:rFonts w:ascii="Times New Roman" w:eastAsia="Times New Roman" w:hAnsi="Times New Roman" w:cs="Times New Roman"/>
                      <w:sz w:val="24"/>
                      <w:szCs w:val="24"/>
                    </w:rPr>
                  </w:pPr>
                  <w:bookmarkStart w:id="1" w:name="P023309"/>
                  <w:bookmarkEnd w:id="1"/>
                  <w:proofErr w:type="spellStart"/>
                  <w:r w:rsidRPr="003F4F50">
                    <w:rPr>
                      <w:rFonts w:ascii="Times New Roman" w:eastAsia="Times New Roman" w:hAnsi="Times New Roman" w:cs="Times New Roman"/>
                      <w:sz w:val="24"/>
                      <w:szCs w:val="24"/>
                    </w:rPr>
                    <w:t>Haemochromatosis</w:t>
                  </w:r>
                  <w:proofErr w:type="spellEnd"/>
                  <w:r w:rsidRPr="003F4F50">
                    <w:rPr>
                      <w:rFonts w:ascii="Times New Roman" w:eastAsia="Times New Roman" w:hAnsi="Times New Roman" w:cs="Times New Roman"/>
                      <w:sz w:val="24"/>
                      <w:szCs w:val="24"/>
                    </w:rPr>
                    <w:t xml:space="preserve"> is a condition in which the amount of total body iron is increased; the excess iron is deposited in and causes damage to several organs including the liver. It may be primary or secondary to other diseases (</w:t>
                  </w:r>
                  <w:hyperlink r:id="rId5" w:anchor="B023053" w:tooltip="Go here now" w:history="1">
                    <w:r w:rsidRPr="003F4F50">
                      <w:rPr>
                        <w:rFonts w:ascii="Times New Roman" w:eastAsia="Times New Roman" w:hAnsi="Times New Roman" w:cs="Times New Roman"/>
                        <w:color w:val="0000FF"/>
                        <w:sz w:val="24"/>
                        <w:szCs w:val="24"/>
                        <w:u w:val="single"/>
                      </w:rPr>
                      <w:t>Box 23.53</w:t>
                    </w:r>
                  </w:hyperlink>
                  <w:r w:rsidRPr="003F4F50">
                    <w:rPr>
                      <w:rFonts w:ascii="Times New Roman" w:eastAsia="Times New Roman" w:hAnsi="Times New Roman" w:cs="Times New Roman"/>
                      <w:sz w:val="24"/>
                      <w:szCs w:val="24"/>
                    </w:rPr>
                    <w:t xml:space="preserve">). </w:t>
                  </w:r>
                </w:p>
              </w:tc>
            </w:tr>
          </w:tbl>
          <w:p w:rsidR="003F4F50" w:rsidRPr="003F4F50" w:rsidRDefault="003F4F50" w:rsidP="003F4F50">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8464"/>
            </w:tblGrid>
            <w:tr w:rsidR="003F4F50" w:rsidRPr="003F4F50">
              <w:trPr>
                <w:tblCellSpacing w:w="0" w:type="dxa"/>
              </w:trPr>
              <w:tc>
                <w:tcPr>
                  <w:tcW w:w="5000" w:type="pct"/>
                  <w:shd w:val="clear" w:color="auto" w:fill="FFFFFF"/>
                  <w:vAlign w:val="center"/>
                  <w:hideMark/>
                </w:tcPr>
                <w:p w:rsidR="003F4F50" w:rsidRPr="003F4F50" w:rsidRDefault="003F4F50" w:rsidP="003F4F50">
                  <w:pPr>
                    <w:spacing w:after="0" w:line="240" w:lineRule="auto"/>
                    <w:rPr>
                      <w:rFonts w:ascii="Times New Roman" w:eastAsia="Times New Roman" w:hAnsi="Times New Roman" w:cs="Times New Roman"/>
                      <w:sz w:val="24"/>
                      <w:szCs w:val="24"/>
                    </w:rPr>
                  </w:pPr>
                  <w:bookmarkStart w:id="2" w:name="HC023185"/>
                  <w:bookmarkEnd w:id="2"/>
                  <w:r w:rsidRPr="003F4F50">
                    <w:rPr>
                      <w:rFonts w:ascii="Times New Roman" w:eastAsia="Times New Roman" w:hAnsi="Times New Roman" w:cs="Times New Roman"/>
                      <w:sz w:val="24"/>
                      <w:szCs w:val="24"/>
                    </w:rPr>
                    <w:t xml:space="preserve">HEREDITARY (PRIMARY) HAEMOCHROMATOSIS </w:t>
                  </w:r>
                </w:p>
              </w:tc>
            </w:tr>
          </w:tbl>
          <w:p w:rsidR="003F4F50" w:rsidRPr="003F4F50" w:rsidRDefault="003F4F50" w:rsidP="003F4F50">
            <w:pPr>
              <w:spacing w:after="0" w:line="240" w:lineRule="auto"/>
              <w:rPr>
                <w:rFonts w:ascii="Times New Roman" w:eastAsia="Times New Roman" w:hAnsi="Times New Roman" w:cs="Times New Roman"/>
                <w:vanish/>
                <w:sz w:val="24"/>
                <w:szCs w:val="24"/>
              </w:rPr>
            </w:pPr>
          </w:p>
          <w:tbl>
            <w:tblPr>
              <w:tblW w:w="4000" w:type="pct"/>
              <w:jc w:val="center"/>
              <w:tblCellSpacing w:w="0" w:type="dxa"/>
              <w:tblCellMar>
                <w:left w:w="0" w:type="dxa"/>
                <w:right w:w="0" w:type="dxa"/>
              </w:tblCellMar>
              <w:tblLook w:val="04A0"/>
            </w:tblPr>
            <w:tblGrid>
              <w:gridCol w:w="6771"/>
            </w:tblGrid>
            <w:tr w:rsidR="003F4F50" w:rsidRPr="003F4F50">
              <w:trPr>
                <w:tblCellSpacing w:w="0" w:type="dxa"/>
                <w:jc w:val="center"/>
              </w:trPr>
              <w:tc>
                <w:tcPr>
                  <w:tcW w:w="5000" w:type="pct"/>
                  <w:vAlign w:val="center"/>
                  <w:hideMark/>
                </w:tcPr>
                <w:p w:rsidR="003F4F50" w:rsidRPr="003F4F50" w:rsidRDefault="003F4F50" w:rsidP="003F4F50">
                  <w:pPr>
                    <w:spacing w:after="0" w:line="240" w:lineRule="auto"/>
                    <w:rPr>
                      <w:rFonts w:ascii="Times New Roman" w:eastAsia="Times New Roman" w:hAnsi="Times New Roman" w:cs="Times New Roman"/>
                      <w:sz w:val="24"/>
                      <w:szCs w:val="24"/>
                    </w:rPr>
                  </w:pPr>
                  <w:bookmarkStart w:id="3" w:name="B023053"/>
                  <w:bookmarkEnd w:id="3"/>
                  <w:r w:rsidRPr="003F4F50">
                    <w:rPr>
                      <w:rFonts w:ascii="Times New Roman" w:eastAsia="Times New Roman" w:hAnsi="Times New Roman" w:cs="Times New Roman"/>
                      <w:sz w:val="24"/>
                      <w:szCs w:val="24"/>
                    </w:rPr>
                    <w:t>23.53 CAUSES OF HAEMOCHROMATOSIS</w:t>
                  </w:r>
                </w:p>
              </w:tc>
            </w:tr>
          </w:tbl>
          <w:p w:rsidR="003F4F50" w:rsidRPr="003F4F50" w:rsidRDefault="003F4F50" w:rsidP="003F4F50">
            <w:pPr>
              <w:spacing w:after="0" w:line="240" w:lineRule="auto"/>
              <w:rPr>
                <w:rFonts w:ascii="Times New Roman" w:eastAsia="Times New Roman" w:hAnsi="Times New Roman" w:cs="Times New Roman"/>
                <w:vanish/>
                <w:sz w:val="24"/>
                <w:szCs w:val="24"/>
              </w:rPr>
            </w:pPr>
            <w:bookmarkStart w:id="4" w:name="TI023039"/>
            <w:bookmarkEnd w:id="4"/>
          </w:p>
          <w:tbl>
            <w:tblPr>
              <w:tblW w:w="0" w:type="auto"/>
              <w:jc w:val="center"/>
              <w:tblCellSpacing w:w="0" w:type="dxa"/>
              <w:tblCellMar>
                <w:top w:w="15" w:type="dxa"/>
                <w:left w:w="15" w:type="dxa"/>
                <w:bottom w:w="15" w:type="dxa"/>
                <w:right w:w="15" w:type="dxa"/>
              </w:tblCellMar>
              <w:tblLook w:val="04A0"/>
            </w:tblPr>
            <w:tblGrid>
              <w:gridCol w:w="2877"/>
            </w:tblGrid>
            <w:tr w:rsidR="003F4F50" w:rsidRPr="003F4F50">
              <w:trPr>
                <w:tblCellSpacing w:w="0" w:type="dxa"/>
                <w:jc w:val="center"/>
              </w:trPr>
              <w:tc>
                <w:tcPr>
                  <w:tcW w:w="0" w:type="auto"/>
                  <w:shd w:val="clear" w:color="auto" w:fill="FFFFFF"/>
                  <w:hideMark/>
                </w:tcPr>
                <w:p w:rsidR="003F4F50" w:rsidRPr="003F4F50" w:rsidRDefault="003F4F50" w:rsidP="003F4F50">
                  <w:pPr>
                    <w:spacing w:after="0" w:line="240" w:lineRule="auto"/>
                    <w:rPr>
                      <w:rFonts w:ascii="Times New Roman" w:eastAsia="Times New Roman" w:hAnsi="Times New Roman" w:cs="Times New Roman"/>
                      <w:sz w:val="24"/>
                      <w:szCs w:val="24"/>
                    </w:rPr>
                  </w:pPr>
                  <w:bookmarkStart w:id="5" w:name="TI023039.50"/>
                  <w:bookmarkEnd w:id="5"/>
                  <w:r w:rsidRPr="003F4F50">
                    <w:rPr>
                      <w:rFonts w:ascii="Times New Roman" w:eastAsia="Times New Roman" w:hAnsi="Times New Roman" w:cs="Times New Roman"/>
                      <w:b/>
                      <w:bCs/>
                      <w:sz w:val="24"/>
                      <w:szCs w:val="24"/>
                    </w:rPr>
                    <w:t xml:space="preserve">Primary </w:t>
                  </w:r>
                  <w:proofErr w:type="spellStart"/>
                  <w:r w:rsidRPr="003F4F50">
                    <w:rPr>
                      <w:rFonts w:ascii="Times New Roman" w:eastAsia="Times New Roman" w:hAnsi="Times New Roman" w:cs="Times New Roman"/>
                      <w:b/>
                      <w:bCs/>
                      <w:sz w:val="24"/>
                      <w:szCs w:val="24"/>
                    </w:rPr>
                    <w:t>haemochromatosis</w:t>
                  </w:r>
                  <w:proofErr w:type="spellEnd"/>
                </w:p>
              </w:tc>
            </w:tr>
          </w:tbl>
          <w:p w:rsidR="003F4F50" w:rsidRPr="003F4F50" w:rsidRDefault="003F4F50" w:rsidP="003F4F50">
            <w:pPr>
              <w:spacing w:after="0" w:line="240" w:lineRule="auto"/>
              <w:rPr>
                <w:rFonts w:ascii="Times New Roman" w:eastAsia="Times New Roman" w:hAnsi="Times New Roman" w:cs="Times New Roman"/>
                <w:vanish/>
                <w:sz w:val="24"/>
                <w:szCs w:val="24"/>
              </w:rPr>
            </w:pPr>
          </w:p>
          <w:tbl>
            <w:tblPr>
              <w:tblW w:w="4000" w:type="pct"/>
              <w:jc w:val="center"/>
              <w:tblCellSpacing w:w="0" w:type="dxa"/>
              <w:tblCellMar>
                <w:left w:w="0" w:type="dxa"/>
                <w:right w:w="0" w:type="dxa"/>
              </w:tblCellMar>
              <w:tblLook w:val="04A0"/>
            </w:tblPr>
            <w:tblGrid>
              <w:gridCol w:w="6771"/>
            </w:tblGrid>
            <w:tr w:rsidR="003F4F50" w:rsidRPr="003F4F50">
              <w:trPr>
                <w:tblCellSpacing w:w="0" w:type="dxa"/>
                <w:jc w:val="center"/>
              </w:trPr>
              <w:tc>
                <w:tcPr>
                  <w:tcW w:w="5000" w:type="pct"/>
                  <w:vAlign w:val="center"/>
                  <w:hideMark/>
                </w:tcPr>
                <w:p w:rsidR="003F4F50" w:rsidRPr="003F4F50" w:rsidRDefault="003F4F50" w:rsidP="003F4F50">
                  <w:pPr>
                    <w:numPr>
                      <w:ilvl w:val="0"/>
                      <w:numId w:val="1"/>
                    </w:numPr>
                    <w:spacing w:before="100" w:beforeAutospacing="1" w:after="100" w:afterAutospacing="1" w:line="240" w:lineRule="auto"/>
                    <w:rPr>
                      <w:rFonts w:ascii="Times New Roman" w:eastAsia="Times New Roman" w:hAnsi="Times New Roman" w:cs="Times New Roman"/>
                      <w:sz w:val="24"/>
                      <w:szCs w:val="24"/>
                    </w:rPr>
                  </w:pPr>
                  <w:bookmarkStart w:id="6" w:name="P023311"/>
                  <w:bookmarkEnd w:id="6"/>
                  <w:proofErr w:type="spellStart"/>
                  <w:r w:rsidRPr="003F4F50">
                    <w:rPr>
                      <w:rFonts w:ascii="Times New Roman" w:eastAsia="Times New Roman" w:hAnsi="Times New Roman" w:cs="Times New Roman"/>
                      <w:sz w:val="24"/>
                      <w:szCs w:val="24"/>
                    </w:rPr>
                    <w:t>Heriditary</w:t>
                  </w:r>
                  <w:proofErr w:type="spellEnd"/>
                  <w:r w:rsidRPr="003F4F50">
                    <w:rPr>
                      <w:rFonts w:ascii="Times New Roman" w:eastAsia="Times New Roman" w:hAnsi="Times New Roman" w:cs="Times New Roman"/>
                      <w:sz w:val="24"/>
                      <w:szCs w:val="24"/>
                    </w:rPr>
                    <w:t xml:space="preserve"> </w:t>
                  </w:r>
                  <w:proofErr w:type="spellStart"/>
                  <w:r w:rsidRPr="003F4F50">
                    <w:rPr>
                      <w:rFonts w:ascii="Times New Roman" w:eastAsia="Times New Roman" w:hAnsi="Times New Roman" w:cs="Times New Roman"/>
                      <w:sz w:val="24"/>
                      <w:szCs w:val="24"/>
                    </w:rPr>
                    <w:t>haemochromatosis</w:t>
                  </w:r>
                  <w:proofErr w:type="spellEnd"/>
                  <w:r w:rsidRPr="003F4F50">
                    <w:rPr>
                      <w:rFonts w:ascii="Times New Roman" w:eastAsia="Times New Roman" w:hAnsi="Times New Roman" w:cs="Times New Roman"/>
                      <w:sz w:val="24"/>
                      <w:szCs w:val="24"/>
                    </w:rPr>
                    <w:t xml:space="preserve"> </w:t>
                  </w:r>
                </w:p>
                <w:p w:rsidR="003F4F50" w:rsidRPr="003F4F50" w:rsidRDefault="003F4F50" w:rsidP="003F4F5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F4F50">
                    <w:rPr>
                      <w:rFonts w:ascii="Times New Roman" w:eastAsia="Times New Roman" w:hAnsi="Times New Roman" w:cs="Times New Roman"/>
                      <w:sz w:val="24"/>
                      <w:szCs w:val="24"/>
                    </w:rPr>
                    <w:t xml:space="preserve">Congenital </w:t>
                  </w:r>
                  <w:proofErr w:type="spellStart"/>
                  <w:r w:rsidRPr="003F4F50">
                    <w:rPr>
                      <w:rFonts w:ascii="Times New Roman" w:eastAsia="Times New Roman" w:hAnsi="Times New Roman" w:cs="Times New Roman"/>
                      <w:sz w:val="24"/>
                      <w:szCs w:val="24"/>
                    </w:rPr>
                    <w:t>acaeruloplasminaemia</w:t>
                  </w:r>
                  <w:proofErr w:type="spellEnd"/>
                  <w:r w:rsidRPr="003F4F50">
                    <w:rPr>
                      <w:rFonts w:ascii="Times New Roman" w:eastAsia="Times New Roman" w:hAnsi="Times New Roman" w:cs="Times New Roman"/>
                      <w:sz w:val="24"/>
                      <w:szCs w:val="24"/>
                    </w:rPr>
                    <w:t xml:space="preserve"> </w:t>
                  </w:r>
                </w:p>
                <w:p w:rsidR="003F4F50" w:rsidRPr="003F4F50" w:rsidRDefault="003F4F50" w:rsidP="003F4F5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F4F50">
                    <w:rPr>
                      <w:rFonts w:ascii="Times New Roman" w:eastAsia="Times New Roman" w:hAnsi="Times New Roman" w:cs="Times New Roman"/>
                      <w:sz w:val="24"/>
                      <w:szCs w:val="24"/>
                    </w:rPr>
                    <w:t xml:space="preserve">Congenital </w:t>
                  </w:r>
                  <w:proofErr w:type="spellStart"/>
                  <w:r w:rsidRPr="003F4F50">
                    <w:rPr>
                      <w:rFonts w:ascii="Times New Roman" w:eastAsia="Times New Roman" w:hAnsi="Times New Roman" w:cs="Times New Roman"/>
                      <w:sz w:val="24"/>
                      <w:szCs w:val="24"/>
                    </w:rPr>
                    <w:t>atransferrinaemia</w:t>
                  </w:r>
                  <w:proofErr w:type="spellEnd"/>
                  <w:r w:rsidRPr="003F4F50">
                    <w:rPr>
                      <w:rFonts w:ascii="Times New Roman" w:eastAsia="Times New Roman" w:hAnsi="Times New Roman" w:cs="Times New Roman"/>
                      <w:sz w:val="24"/>
                      <w:szCs w:val="24"/>
                    </w:rPr>
                    <w:t xml:space="preserve"> </w:t>
                  </w:r>
                </w:p>
              </w:tc>
            </w:tr>
          </w:tbl>
          <w:p w:rsidR="003F4F50" w:rsidRPr="003F4F50" w:rsidRDefault="003F4F50" w:rsidP="003F4F50">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8464"/>
            </w:tblGrid>
            <w:tr w:rsidR="003F4F50" w:rsidRPr="003F4F50">
              <w:trPr>
                <w:tblCellSpacing w:w="0" w:type="dxa"/>
              </w:trPr>
              <w:tc>
                <w:tcPr>
                  <w:tcW w:w="5000" w:type="pct"/>
                  <w:vAlign w:val="center"/>
                  <w:hideMark/>
                </w:tcPr>
                <w:p w:rsidR="003F4F50" w:rsidRPr="003F4F50" w:rsidRDefault="003F4F50" w:rsidP="003F4F50">
                  <w:pPr>
                    <w:spacing w:after="0" w:line="240" w:lineRule="auto"/>
                    <w:rPr>
                      <w:rFonts w:ascii="Times New Roman" w:eastAsia="Times New Roman" w:hAnsi="Times New Roman" w:cs="Times New Roman"/>
                      <w:sz w:val="24"/>
                      <w:szCs w:val="24"/>
                    </w:rPr>
                  </w:pPr>
                  <w:r w:rsidRPr="003F4F50">
                    <w:rPr>
                      <w:rFonts w:ascii="Times New Roman" w:eastAsia="Times New Roman" w:hAnsi="Times New Roman" w:cs="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5pt;height:7.5pt"/>
                    </w:pict>
                  </w:r>
                </w:p>
              </w:tc>
            </w:tr>
          </w:tbl>
          <w:p w:rsidR="003F4F50" w:rsidRPr="003F4F50" w:rsidRDefault="003F4F50" w:rsidP="003F4F50">
            <w:pPr>
              <w:spacing w:after="0" w:line="240" w:lineRule="auto"/>
              <w:rPr>
                <w:rFonts w:ascii="Times New Roman" w:eastAsia="Times New Roman" w:hAnsi="Times New Roman" w:cs="Times New Roman"/>
                <w:sz w:val="24"/>
                <w:szCs w:val="24"/>
              </w:rPr>
            </w:pPr>
          </w:p>
        </w:tc>
      </w:tr>
      <w:tr w:rsidR="003F4F50" w:rsidRPr="003F4F50" w:rsidTr="003F4F50">
        <w:trPr>
          <w:tblCellSpacing w:w="0" w:type="dxa"/>
        </w:trPr>
        <w:tc>
          <w:tcPr>
            <w:tcW w:w="0" w:type="auto"/>
            <w:shd w:val="clear" w:color="auto" w:fill="FFFFFF"/>
            <w:hideMark/>
          </w:tcPr>
          <w:p w:rsidR="003F4F50" w:rsidRPr="003F4F50" w:rsidRDefault="003F4F50" w:rsidP="003F4F50">
            <w:pPr>
              <w:spacing w:after="0" w:line="240" w:lineRule="auto"/>
              <w:rPr>
                <w:rFonts w:ascii="Times New Roman" w:eastAsia="Times New Roman" w:hAnsi="Times New Roman" w:cs="Times New Roman"/>
                <w:sz w:val="24"/>
                <w:szCs w:val="24"/>
              </w:rPr>
            </w:pPr>
            <w:bookmarkStart w:id="7" w:name="TI023039.100"/>
            <w:bookmarkEnd w:id="7"/>
          </w:p>
        </w:tc>
      </w:tr>
      <w:tr w:rsidR="003F4F50" w:rsidRPr="003F4F50" w:rsidTr="003F4F50">
        <w:trPr>
          <w:tblCellSpacing w:w="0" w:type="dxa"/>
        </w:trPr>
        <w:tc>
          <w:tcPr>
            <w:tcW w:w="0" w:type="auto"/>
            <w:shd w:val="clear" w:color="auto" w:fill="FFFFFF"/>
            <w:hideMark/>
          </w:tcPr>
          <w:p w:rsidR="003F4F50" w:rsidRPr="003F4F50" w:rsidRDefault="003F4F50" w:rsidP="003F4F50">
            <w:pPr>
              <w:spacing w:after="0" w:line="240" w:lineRule="auto"/>
              <w:rPr>
                <w:rFonts w:ascii="Times New Roman" w:eastAsia="Times New Roman" w:hAnsi="Times New Roman" w:cs="Times New Roman"/>
                <w:sz w:val="24"/>
                <w:szCs w:val="24"/>
              </w:rPr>
            </w:pPr>
            <w:bookmarkStart w:id="8" w:name="TI023039.150"/>
            <w:bookmarkEnd w:id="8"/>
            <w:r w:rsidRPr="003F4F50">
              <w:rPr>
                <w:rFonts w:ascii="Times New Roman" w:eastAsia="Times New Roman" w:hAnsi="Times New Roman" w:cs="Times New Roman"/>
                <w:b/>
                <w:bCs/>
                <w:sz w:val="24"/>
                <w:szCs w:val="24"/>
              </w:rPr>
              <w:t>Secondary iron overload</w:t>
            </w:r>
          </w:p>
        </w:tc>
      </w:tr>
    </w:tbl>
    <w:p w:rsidR="003F4F50" w:rsidRPr="003F4F50" w:rsidRDefault="003F4F50" w:rsidP="003F4F50">
      <w:pPr>
        <w:spacing w:after="0" w:line="240" w:lineRule="auto"/>
        <w:rPr>
          <w:rFonts w:ascii="Times New Roman" w:eastAsia="Times New Roman" w:hAnsi="Times New Roman" w:cs="Times New Roman"/>
          <w:vanish/>
          <w:sz w:val="24"/>
          <w:szCs w:val="24"/>
        </w:rPr>
      </w:pPr>
    </w:p>
    <w:tbl>
      <w:tblPr>
        <w:tblW w:w="4000" w:type="pct"/>
        <w:jc w:val="center"/>
        <w:tblCellSpacing w:w="0" w:type="dxa"/>
        <w:tblCellMar>
          <w:left w:w="0" w:type="dxa"/>
          <w:right w:w="0" w:type="dxa"/>
        </w:tblCellMar>
        <w:tblLook w:val="04A0"/>
      </w:tblPr>
      <w:tblGrid>
        <w:gridCol w:w="6912"/>
      </w:tblGrid>
      <w:tr w:rsidR="003F4F50" w:rsidRPr="003F4F50" w:rsidTr="003F4F50">
        <w:trPr>
          <w:tblCellSpacing w:w="0" w:type="dxa"/>
          <w:jc w:val="center"/>
        </w:trPr>
        <w:tc>
          <w:tcPr>
            <w:tcW w:w="5000" w:type="pct"/>
            <w:vAlign w:val="center"/>
            <w:hideMark/>
          </w:tcPr>
          <w:p w:rsidR="003F4F50" w:rsidRPr="003F4F50" w:rsidRDefault="003F4F50" w:rsidP="003F4F50">
            <w:pPr>
              <w:numPr>
                <w:ilvl w:val="0"/>
                <w:numId w:val="2"/>
              </w:numPr>
              <w:spacing w:before="100" w:beforeAutospacing="1" w:after="100" w:afterAutospacing="1" w:line="240" w:lineRule="auto"/>
              <w:rPr>
                <w:rFonts w:ascii="Times New Roman" w:eastAsia="Times New Roman" w:hAnsi="Times New Roman" w:cs="Times New Roman"/>
                <w:sz w:val="24"/>
                <w:szCs w:val="24"/>
              </w:rPr>
            </w:pPr>
            <w:bookmarkStart w:id="9" w:name="P023312"/>
            <w:bookmarkEnd w:id="9"/>
            <w:proofErr w:type="spellStart"/>
            <w:r w:rsidRPr="003F4F50">
              <w:rPr>
                <w:rFonts w:ascii="Times New Roman" w:eastAsia="Times New Roman" w:hAnsi="Times New Roman" w:cs="Times New Roman"/>
                <w:sz w:val="24"/>
                <w:szCs w:val="24"/>
              </w:rPr>
              <w:t>Parenteral</w:t>
            </w:r>
            <w:proofErr w:type="spellEnd"/>
            <w:r w:rsidRPr="003F4F50">
              <w:rPr>
                <w:rFonts w:ascii="Times New Roman" w:eastAsia="Times New Roman" w:hAnsi="Times New Roman" w:cs="Times New Roman"/>
                <w:sz w:val="24"/>
                <w:szCs w:val="24"/>
              </w:rPr>
              <w:t xml:space="preserve"> iron-loading (e.g. repeated blood transfusion) </w:t>
            </w:r>
          </w:p>
          <w:p w:rsidR="003F4F50" w:rsidRPr="003F4F50" w:rsidRDefault="003F4F50" w:rsidP="003F4F50">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3F4F50">
              <w:rPr>
                <w:rFonts w:ascii="Times New Roman" w:eastAsia="Times New Roman" w:hAnsi="Times New Roman" w:cs="Times New Roman"/>
                <w:sz w:val="24"/>
                <w:szCs w:val="24"/>
              </w:rPr>
              <w:t xml:space="preserve">Iron-loading </w:t>
            </w:r>
            <w:proofErr w:type="spellStart"/>
            <w:r w:rsidRPr="003F4F50">
              <w:rPr>
                <w:rFonts w:ascii="Times New Roman" w:eastAsia="Times New Roman" w:hAnsi="Times New Roman" w:cs="Times New Roman"/>
                <w:sz w:val="24"/>
                <w:szCs w:val="24"/>
              </w:rPr>
              <w:t>anaemia</w:t>
            </w:r>
            <w:proofErr w:type="spellEnd"/>
            <w:r w:rsidRPr="003F4F50">
              <w:rPr>
                <w:rFonts w:ascii="Times New Roman" w:eastAsia="Times New Roman" w:hAnsi="Times New Roman" w:cs="Times New Roman"/>
                <w:sz w:val="24"/>
                <w:szCs w:val="24"/>
              </w:rPr>
              <w:t xml:space="preserve"> (</w:t>
            </w:r>
            <w:proofErr w:type="spellStart"/>
            <w:r w:rsidRPr="003F4F50">
              <w:rPr>
                <w:rFonts w:ascii="Times New Roman" w:eastAsia="Times New Roman" w:hAnsi="Times New Roman" w:cs="Times New Roman"/>
                <w:sz w:val="24"/>
                <w:szCs w:val="24"/>
              </w:rPr>
              <w:t>thalassaemia</w:t>
            </w:r>
            <w:proofErr w:type="spellEnd"/>
            <w:r w:rsidRPr="003F4F50">
              <w:rPr>
                <w:rFonts w:ascii="Times New Roman" w:eastAsia="Times New Roman" w:hAnsi="Times New Roman" w:cs="Times New Roman"/>
                <w:sz w:val="24"/>
                <w:szCs w:val="24"/>
              </w:rPr>
              <w:t xml:space="preserve">, </w:t>
            </w:r>
            <w:proofErr w:type="spellStart"/>
            <w:r w:rsidRPr="003F4F50">
              <w:rPr>
                <w:rFonts w:ascii="Times New Roman" w:eastAsia="Times New Roman" w:hAnsi="Times New Roman" w:cs="Times New Roman"/>
                <w:sz w:val="24"/>
                <w:szCs w:val="24"/>
              </w:rPr>
              <w:t>sideroblastic</w:t>
            </w:r>
            <w:proofErr w:type="spellEnd"/>
            <w:r w:rsidRPr="003F4F50">
              <w:rPr>
                <w:rFonts w:ascii="Times New Roman" w:eastAsia="Times New Roman" w:hAnsi="Times New Roman" w:cs="Times New Roman"/>
                <w:sz w:val="24"/>
                <w:szCs w:val="24"/>
              </w:rPr>
              <w:t xml:space="preserve"> </w:t>
            </w:r>
            <w:proofErr w:type="spellStart"/>
            <w:r w:rsidRPr="003F4F50">
              <w:rPr>
                <w:rFonts w:ascii="Times New Roman" w:eastAsia="Times New Roman" w:hAnsi="Times New Roman" w:cs="Times New Roman"/>
                <w:sz w:val="24"/>
                <w:szCs w:val="24"/>
              </w:rPr>
              <w:t>anaemia</w:t>
            </w:r>
            <w:proofErr w:type="spellEnd"/>
            <w:r w:rsidRPr="003F4F50">
              <w:rPr>
                <w:rFonts w:ascii="Times New Roman" w:eastAsia="Times New Roman" w:hAnsi="Times New Roman" w:cs="Times New Roman"/>
                <w:sz w:val="24"/>
                <w:szCs w:val="24"/>
              </w:rPr>
              <w:t xml:space="preserve">, </w:t>
            </w:r>
            <w:proofErr w:type="spellStart"/>
            <w:r w:rsidRPr="003F4F50">
              <w:rPr>
                <w:rFonts w:ascii="Times New Roman" w:eastAsia="Times New Roman" w:hAnsi="Times New Roman" w:cs="Times New Roman"/>
                <w:sz w:val="24"/>
                <w:szCs w:val="24"/>
              </w:rPr>
              <w:t>pyruvate</w:t>
            </w:r>
            <w:proofErr w:type="spellEnd"/>
            <w:r w:rsidRPr="003F4F50">
              <w:rPr>
                <w:rFonts w:ascii="Times New Roman" w:eastAsia="Times New Roman" w:hAnsi="Times New Roman" w:cs="Times New Roman"/>
                <w:sz w:val="24"/>
                <w:szCs w:val="24"/>
              </w:rPr>
              <w:t xml:space="preserve"> </w:t>
            </w:r>
            <w:proofErr w:type="spellStart"/>
            <w:r w:rsidRPr="003F4F50">
              <w:rPr>
                <w:rFonts w:ascii="Times New Roman" w:eastAsia="Times New Roman" w:hAnsi="Times New Roman" w:cs="Times New Roman"/>
                <w:sz w:val="24"/>
                <w:szCs w:val="24"/>
              </w:rPr>
              <w:t>kinase</w:t>
            </w:r>
            <w:proofErr w:type="spellEnd"/>
            <w:r w:rsidRPr="003F4F50">
              <w:rPr>
                <w:rFonts w:ascii="Times New Roman" w:eastAsia="Times New Roman" w:hAnsi="Times New Roman" w:cs="Times New Roman"/>
                <w:sz w:val="24"/>
                <w:szCs w:val="24"/>
              </w:rPr>
              <w:t xml:space="preserve"> deficiency) </w:t>
            </w:r>
          </w:p>
          <w:p w:rsidR="003F4F50" w:rsidRPr="003F4F50" w:rsidRDefault="003F4F50" w:rsidP="003F4F50">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3F4F50">
              <w:rPr>
                <w:rFonts w:ascii="Times New Roman" w:eastAsia="Times New Roman" w:hAnsi="Times New Roman" w:cs="Times New Roman"/>
                <w:sz w:val="24"/>
                <w:szCs w:val="24"/>
              </w:rPr>
              <w:t xml:space="preserve">Liver disease </w:t>
            </w:r>
          </w:p>
          <w:p w:rsidR="003F4F50" w:rsidRPr="003F4F50" w:rsidRDefault="003F4F50" w:rsidP="003F4F50">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3F4F50">
              <w:rPr>
                <w:rFonts w:ascii="Times New Roman" w:eastAsia="Times New Roman" w:hAnsi="Times New Roman" w:cs="Times New Roman"/>
                <w:sz w:val="24"/>
                <w:szCs w:val="24"/>
              </w:rPr>
              <w:t xml:space="preserve">Dietary iron overload (prolonged oral iron therapy) </w:t>
            </w:r>
          </w:p>
        </w:tc>
      </w:tr>
    </w:tbl>
    <w:p w:rsidR="003F4F50" w:rsidRPr="003F4F50" w:rsidRDefault="003F4F50" w:rsidP="003F4F50">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8640"/>
      </w:tblGrid>
      <w:tr w:rsidR="003F4F50" w:rsidRPr="003F4F50" w:rsidTr="003F4F50">
        <w:trPr>
          <w:tblCellSpacing w:w="0" w:type="dxa"/>
        </w:trPr>
        <w:tc>
          <w:tcPr>
            <w:tcW w:w="5000" w:type="pct"/>
            <w:vAlign w:val="center"/>
            <w:hideMark/>
          </w:tcPr>
          <w:p w:rsidR="003F4F50" w:rsidRPr="003F4F50" w:rsidRDefault="003F4F50" w:rsidP="003F4F50">
            <w:pPr>
              <w:spacing w:after="0" w:line="240" w:lineRule="auto"/>
              <w:rPr>
                <w:rFonts w:ascii="Times New Roman" w:eastAsia="Times New Roman" w:hAnsi="Times New Roman" w:cs="Times New Roman"/>
                <w:sz w:val="24"/>
                <w:szCs w:val="24"/>
              </w:rPr>
            </w:pPr>
            <w:r w:rsidRPr="003F4F50">
              <w:rPr>
                <w:rFonts w:ascii="Times New Roman" w:eastAsia="Times New Roman" w:hAnsi="Times New Roman" w:cs="Times New Roman"/>
                <w:sz w:val="24"/>
                <w:szCs w:val="24"/>
              </w:rPr>
              <w:pict>
                <v:shape id="_x0000_i1026" type="#_x0000_t75" alt="" style="width:.5pt;height:7.5pt"/>
              </w:pict>
            </w:r>
          </w:p>
        </w:tc>
      </w:tr>
    </w:tbl>
    <w:p w:rsidR="003F4F50" w:rsidRPr="003F4F50" w:rsidRDefault="003F4F50" w:rsidP="003F4F50">
      <w:pPr>
        <w:spacing w:after="0" w:line="240" w:lineRule="auto"/>
        <w:rPr>
          <w:rFonts w:ascii="Times New Roman" w:eastAsia="Times New Roman" w:hAnsi="Times New Roman" w:cs="Times New Roman"/>
          <w:sz w:val="24"/>
          <w:szCs w:val="24"/>
        </w:rPr>
      </w:pPr>
      <w:bookmarkStart w:id="10" w:name="TI023039.200"/>
      <w:bookmarkStart w:id="11" w:name="TI023039.250"/>
      <w:bookmarkEnd w:id="10"/>
      <w:bookmarkEnd w:id="11"/>
      <w:r w:rsidRPr="003F4F50">
        <w:rPr>
          <w:rFonts w:ascii="Times New Roman" w:eastAsia="Times New Roman" w:hAnsi="Times New Roman" w:cs="Times New Roman"/>
          <w:b/>
          <w:bCs/>
          <w:sz w:val="24"/>
          <w:szCs w:val="24"/>
        </w:rPr>
        <w:t>Complex iron overload</w:t>
      </w:r>
      <w:r w:rsidRPr="003F4F50">
        <w:rPr>
          <w:rFonts w:ascii="Times New Roman" w:eastAsia="Times New Roman" w:hAnsi="Times New Roman" w:cs="Times New Roman"/>
          <w:sz w:val="24"/>
          <w:szCs w:val="24"/>
        </w:rPr>
        <w:t xml:space="preserve"> </w:t>
      </w:r>
    </w:p>
    <w:tbl>
      <w:tblPr>
        <w:tblW w:w="4000" w:type="pct"/>
        <w:jc w:val="center"/>
        <w:tblCellSpacing w:w="0" w:type="dxa"/>
        <w:tblCellMar>
          <w:left w:w="0" w:type="dxa"/>
          <w:right w:w="0" w:type="dxa"/>
        </w:tblCellMar>
        <w:tblLook w:val="04A0"/>
      </w:tblPr>
      <w:tblGrid>
        <w:gridCol w:w="6912"/>
      </w:tblGrid>
      <w:tr w:rsidR="003F4F50" w:rsidRPr="003F4F50" w:rsidTr="003F4F50">
        <w:trPr>
          <w:tblCellSpacing w:w="0" w:type="dxa"/>
          <w:jc w:val="center"/>
        </w:trPr>
        <w:tc>
          <w:tcPr>
            <w:tcW w:w="5000" w:type="pct"/>
            <w:vAlign w:val="center"/>
            <w:hideMark/>
          </w:tcPr>
          <w:p w:rsidR="003F4F50" w:rsidRPr="003F4F50" w:rsidRDefault="003F4F50" w:rsidP="003F4F50">
            <w:pPr>
              <w:numPr>
                <w:ilvl w:val="0"/>
                <w:numId w:val="3"/>
              </w:numPr>
              <w:spacing w:before="100" w:beforeAutospacing="1" w:after="100" w:afterAutospacing="1" w:line="240" w:lineRule="auto"/>
              <w:rPr>
                <w:rFonts w:ascii="Times New Roman" w:eastAsia="Times New Roman" w:hAnsi="Times New Roman" w:cs="Times New Roman"/>
                <w:sz w:val="24"/>
                <w:szCs w:val="24"/>
              </w:rPr>
            </w:pPr>
            <w:bookmarkStart w:id="12" w:name="P023313"/>
            <w:bookmarkEnd w:id="12"/>
            <w:r w:rsidRPr="003F4F50">
              <w:rPr>
                <w:rFonts w:ascii="Times New Roman" w:eastAsia="Times New Roman" w:hAnsi="Times New Roman" w:cs="Times New Roman"/>
                <w:sz w:val="24"/>
                <w:szCs w:val="24"/>
              </w:rPr>
              <w:t xml:space="preserve">Juvenile </w:t>
            </w:r>
            <w:proofErr w:type="spellStart"/>
            <w:r w:rsidRPr="003F4F50">
              <w:rPr>
                <w:rFonts w:ascii="Times New Roman" w:eastAsia="Times New Roman" w:hAnsi="Times New Roman" w:cs="Times New Roman"/>
                <w:sz w:val="24"/>
                <w:szCs w:val="24"/>
              </w:rPr>
              <w:t>haemochromatosis</w:t>
            </w:r>
            <w:proofErr w:type="spellEnd"/>
            <w:r w:rsidRPr="003F4F50">
              <w:rPr>
                <w:rFonts w:ascii="Times New Roman" w:eastAsia="Times New Roman" w:hAnsi="Times New Roman" w:cs="Times New Roman"/>
                <w:sz w:val="24"/>
                <w:szCs w:val="24"/>
              </w:rPr>
              <w:t xml:space="preserve"> </w:t>
            </w:r>
          </w:p>
          <w:p w:rsidR="003F4F50" w:rsidRPr="003F4F50" w:rsidRDefault="003F4F50" w:rsidP="003F4F50">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3F4F50">
              <w:rPr>
                <w:rFonts w:ascii="Times New Roman" w:eastAsia="Times New Roman" w:hAnsi="Times New Roman" w:cs="Times New Roman"/>
                <w:sz w:val="24"/>
                <w:szCs w:val="24"/>
              </w:rPr>
              <w:t xml:space="preserve">Neonatal </w:t>
            </w:r>
            <w:proofErr w:type="spellStart"/>
            <w:r w:rsidRPr="003F4F50">
              <w:rPr>
                <w:rFonts w:ascii="Times New Roman" w:eastAsia="Times New Roman" w:hAnsi="Times New Roman" w:cs="Times New Roman"/>
                <w:sz w:val="24"/>
                <w:szCs w:val="24"/>
              </w:rPr>
              <w:t>haemochromatosis</w:t>
            </w:r>
            <w:proofErr w:type="spellEnd"/>
            <w:r w:rsidRPr="003F4F50">
              <w:rPr>
                <w:rFonts w:ascii="Times New Roman" w:eastAsia="Times New Roman" w:hAnsi="Times New Roman" w:cs="Times New Roman"/>
                <w:sz w:val="24"/>
                <w:szCs w:val="24"/>
              </w:rPr>
              <w:t xml:space="preserve"> </w:t>
            </w:r>
          </w:p>
          <w:p w:rsidR="003F4F50" w:rsidRPr="003F4F50" w:rsidRDefault="003F4F50" w:rsidP="003F4F50">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3F4F50">
              <w:rPr>
                <w:rFonts w:ascii="Times New Roman" w:eastAsia="Times New Roman" w:hAnsi="Times New Roman" w:cs="Times New Roman"/>
                <w:sz w:val="24"/>
                <w:szCs w:val="24"/>
              </w:rPr>
              <w:t xml:space="preserve">Alcoholic liver disease </w:t>
            </w:r>
          </w:p>
          <w:p w:rsidR="003F4F50" w:rsidRPr="003F4F50" w:rsidRDefault="003F4F50" w:rsidP="003F4F50">
            <w:pPr>
              <w:numPr>
                <w:ilvl w:val="0"/>
                <w:numId w:val="3"/>
              </w:numPr>
              <w:spacing w:before="100" w:beforeAutospacing="1" w:after="100" w:afterAutospacing="1" w:line="240" w:lineRule="auto"/>
              <w:rPr>
                <w:rFonts w:ascii="Times New Roman" w:eastAsia="Times New Roman" w:hAnsi="Times New Roman" w:cs="Times New Roman"/>
                <w:sz w:val="24"/>
                <w:szCs w:val="24"/>
              </w:rPr>
            </w:pPr>
            <w:proofErr w:type="spellStart"/>
            <w:r w:rsidRPr="003F4F50">
              <w:rPr>
                <w:rFonts w:ascii="Times New Roman" w:eastAsia="Times New Roman" w:hAnsi="Times New Roman" w:cs="Times New Roman"/>
                <w:sz w:val="24"/>
                <w:szCs w:val="24"/>
              </w:rPr>
              <w:t>Porphyria</w:t>
            </w:r>
            <w:proofErr w:type="spellEnd"/>
            <w:r w:rsidRPr="003F4F50">
              <w:rPr>
                <w:rFonts w:ascii="Times New Roman" w:eastAsia="Times New Roman" w:hAnsi="Times New Roman" w:cs="Times New Roman"/>
                <w:sz w:val="24"/>
                <w:szCs w:val="24"/>
              </w:rPr>
              <w:t xml:space="preserve"> </w:t>
            </w:r>
            <w:proofErr w:type="spellStart"/>
            <w:r w:rsidRPr="003F4F50">
              <w:rPr>
                <w:rFonts w:ascii="Times New Roman" w:eastAsia="Times New Roman" w:hAnsi="Times New Roman" w:cs="Times New Roman"/>
                <w:sz w:val="24"/>
                <w:szCs w:val="24"/>
              </w:rPr>
              <w:t>cutanea</w:t>
            </w:r>
            <w:proofErr w:type="spellEnd"/>
            <w:r w:rsidRPr="003F4F50">
              <w:rPr>
                <w:rFonts w:ascii="Times New Roman" w:eastAsia="Times New Roman" w:hAnsi="Times New Roman" w:cs="Times New Roman"/>
                <w:sz w:val="24"/>
                <w:szCs w:val="24"/>
              </w:rPr>
              <w:t xml:space="preserve"> </w:t>
            </w:r>
            <w:proofErr w:type="spellStart"/>
            <w:r w:rsidRPr="003F4F50">
              <w:rPr>
                <w:rFonts w:ascii="Times New Roman" w:eastAsia="Times New Roman" w:hAnsi="Times New Roman" w:cs="Times New Roman"/>
                <w:sz w:val="24"/>
                <w:szCs w:val="24"/>
              </w:rPr>
              <w:t>tarda</w:t>
            </w:r>
            <w:proofErr w:type="spellEnd"/>
            <w:r w:rsidRPr="003F4F50">
              <w:rPr>
                <w:rFonts w:ascii="Times New Roman" w:eastAsia="Times New Roman" w:hAnsi="Times New Roman" w:cs="Times New Roman"/>
                <w:sz w:val="24"/>
                <w:szCs w:val="24"/>
              </w:rPr>
              <w:t xml:space="preserve"> </w:t>
            </w:r>
          </w:p>
          <w:p w:rsidR="003F4F50" w:rsidRPr="003F4F50" w:rsidRDefault="003F4F50" w:rsidP="003F4F50">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3F4F50">
              <w:rPr>
                <w:rFonts w:ascii="Times New Roman" w:eastAsia="Times New Roman" w:hAnsi="Times New Roman" w:cs="Times New Roman"/>
                <w:sz w:val="24"/>
                <w:szCs w:val="24"/>
              </w:rPr>
              <w:t xml:space="preserve">African iron overload (Bantu </w:t>
            </w:r>
            <w:proofErr w:type="spellStart"/>
            <w:r w:rsidRPr="003F4F50">
              <w:rPr>
                <w:rFonts w:ascii="Times New Roman" w:eastAsia="Times New Roman" w:hAnsi="Times New Roman" w:cs="Times New Roman"/>
                <w:sz w:val="24"/>
                <w:szCs w:val="24"/>
              </w:rPr>
              <w:t>siderosis</w:t>
            </w:r>
            <w:proofErr w:type="spellEnd"/>
            <w:r w:rsidRPr="003F4F50">
              <w:rPr>
                <w:rFonts w:ascii="Times New Roman" w:eastAsia="Times New Roman" w:hAnsi="Times New Roman" w:cs="Times New Roman"/>
                <w:sz w:val="24"/>
                <w:szCs w:val="24"/>
              </w:rPr>
              <w:t xml:space="preserve">) </w:t>
            </w:r>
          </w:p>
        </w:tc>
      </w:tr>
    </w:tbl>
    <w:p w:rsidR="003F4F50" w:rsidRPr="003F4F50" w:rsidRDefault="003F4F50" w:rsidP="003F4F50">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8640"/>
      </w:tblGrid>
      <w:tr w:rsidR="003F4F50" w:rsidRPr="003F4F50" w:rsidTr="003F4F50">
        <w:trPr>
          <w:tblCellSpacing w:w="0" w:type="dxa"/>
        </w:trPr>
        <w:tc>
          <w:tcPr>
            <w:tcW w:w="5000" w:type="pct"/>
            <w:vAlign w:val="center"/>
            <w:hideMark/>
          </w:tcPr>
          <w:p w:rsidR="003F4F50" w:rsidRPr="003F4F50" w:rsidRDefault="003F4F50" w:rsidP="003F4F50">
            <w:pPr>
              <w:spacing w:after="0" w:line="240" w:lineRule="auto"/>
              <w:rPr>
                <w:rFonts w:ascii="Times New Roman" w:eastAsia="Times New Roman" w:hAnsi="Times New Roman" w:cs="Times New Roman"/>
                <w:sz w:val="24"/>
                <w:szCs w:val="24"/>
              </w:rPr>
            </w:pPr>
            <w:r w:rsidRPr="003F4F50">
              <w:rPr>
                <w:rFonts w:ascii="Times New Roman" w:eastAsia="Times New Roman" w:hAnsi="Times New Roman" w:cs="Times New Roman"/>
                <w:sz w:val="24"/>
                <w:szCs w:val="24"/>
              </w:rPr>
              <w:pict>
                <v:shape id="_x0000_i1027" type="#_x0000_t75" alt="" style="width:.5pt;height:7.5pt"/>
              </w:pict>
            </w:r>
          </w:p>
        </w:tc>
      </w:tr>
    </w:tbl>
    <w:p w:rsidR="003F4F50" w:rsidRPr="003F4F50" w:rsidRDefault="003F4F50" w:rsidP="003F4F50">
      <w:pPr>
        <w:spacing w:after="0" w:line="240" w:lineRule="auto"/>
        <w:rPr>
          <w:rFonts w:ascii="Times New Roman" w:eastAsia="Times New Roman" w:hAnsi="Times New Roman" w:cs="Times New Roman"/>
          <w:vanish/>
          <w:sz w:val="24"/>
          <w:szCs w:val="24"/>
        </w:rPr>
      </w:pPr>
      <w:bookmarkStart w:id="13" w:name="TI023039.300"/>
      <w:bookmarkEnd w:id="13"/>
    </w:p>
    <w:tbl>
      <w:tblPr>
        <w:tblW w:w="4500" w:type="pct"/>
        <w:jc w:val="center"/>
        <w:tblCellSpacing w:w="0" w:type="dxa"/>
        <w:tblCellMar>
          <w:left w:w="0" w:type="dxa"/>
          <w:right w:w="0" w:type="dxa"/>
        </w:tblCellMar>
        <w:tblLook w:val="04A0"/>
      </w:tblPr>
      <w:tblGrid>
        <w:gridCol w:w="7776"/>
      </w:tblGrid>
      <w:tr w:rsidR="003F4F50" w:rsidRPr="003F4F50" w:rsidTr="003F4F50">
        <w:trPr>
          <w:tblCellSpacing w:w="0" w:type="dxa"/>
          <w:jc w:val="center"/>
        </w:trPr>
        <w:tc>
          <w:tcPr>
            <w:tcW w:w="5000" w:type="pct"/>
            <w:shd w:val="clear" w:color="auto" w:fill="FFFFFF"/>
            <w:vAlign w:val="center"/>
            <w:hideMark/>
          </w:tcPr>
          <w:p w:rsidR="003F4F50" w:rsidRPr="003F4F50" w:rsidRDefault="003F4F50" w:rsidP="003F4F50">
            <w:pPr>
              <w:spacing w:after="0" w:line="240" w:lineRule="auto"/>
              <w:rPr>
                <w:rFonts w:ascii="Times New Roman" w:eastAsia="Times New Roman" w:hAnsi="Times New Roman" w:cs="Times New Roman"/>
                <w:sz w:val="24"/>
                <w:szCs w:val="24"/>
              </w:rPr>
            </w:pPr>
            <w:bookmarkStart w:id="14" w:name=""/>
            <w:bookmarkEnd w:id="14"/>
          </w:p>
        </w:tc>
      </w:tr>
    </w:tbl>
    <w:p w:rsidR="003F4F50" w:rsidRPr="003F4F50" w:rsidRDefault="003F4F50" w:rsidP="003F4F50">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8640"/>
      </w:tblGrid>
      <w:tr w:rsidR="003F4F50" w:rsidRPr="003F4F50" w:rsidTr="003F4F50">
        <w:trPr>
          <w:tblCellSpacing w:w="0" w:type="dxa"/>
        </w:trPr>
        <w:tc>
          <w:tcPr>
            <w:tcW w:w="5000" w:type="pct"/>
            <w:shd w:val="clear" w:color="auto" w:fill="FFFFFF"/>
            <w:vAlign w:val="center"/>
            <w:hideMark/>
          </w:tcPr>
          <w:p w:rsidR="003F4F50" w:rsidRPr="003F4F50" w:rsidRDefault="003F4F50" w:rsidP="003F4F50">
            <w:pPr>
              <w:spacing w:after="0" w:line="240" w:lineRule="auto"/>
              <w:rPr>
                <w:rFonts w:ascii="Times New Roman" w:eastAsia="Times New Roman" w:hAnsi="Times New Roman" w:cs="Times New Roman"/>
                <w:sz w:val="24"/>
                <w:szCs w:val="24"/>
              </w:rPr>
            </w:pPr>
            <w:bookmarkStart w:id="15" w:name="P023310"/>
            <w:bookmarkEnd w:id="15"/>
            <w:r w:rsidRPr="003F4F50">
              <w:rPr>
                <w:rFonts w:ascii="Times New Roman" w:eastAsia="Times New Roman" w:hAnsi="Times New Roman" w:cs="Times New Roman"/>
                <w:sz w:val="24"/>
                <w:szCs w:val="24"/>
              </w:rPr>
              <w:t xml:space="preserve">In this disease iron is deposited throughout the body and total body iron may reach 20-60 g (normally 4 g). The important organs involved are the liver, pancreatic islets, endocrine glands and heart. In the liver, iron deposition occurs first in the </w:t>
            </w:r>
            <w:proofErr w:type="spellStart"/>
            <w:r w:rsidRPr="003F4F50">
              <w:rPr>
                <w:rFonts w:ascii="Times New Roman" w:eastAsia="Times New Roman" w:hAnsi="Times New Roman" w:cs="Times New Roman"/>
                <w:sz w:val="24"/>
                <w:szCs w:val="24"/>
              </w:rPr>
              <w:t>periportal</w:t>
            </w:r>
            <w:proofErr w:type="spellEnd"/>
            <w:r w:rsidRPr="003F4F50">
              <w:rPr>
                <w:rFonts w:ascii="Times New Roman" w:eastAsia="Times New Roman" w:hAnsi="Times New Roman" w:cs="Times New Roman"/>
                <w:sz w:val="24"/>
                <w:szCs w:val="24"/>
              </w:rPr>
              <w:t xml:space="preserve"> </w:t>
            </w:r>
            <w:proofErr w:type="spellStart"/>
            <w:r w:rsidRPr="003F4F50">
              <w:rPr>
                <w:rFonts w:ascii="Times New Roman" w:eastAsia="Times New Roman" w:hAnsi="Times New Roman" w:cs="Times New Roman"/>
                <w:sz w:val="24"/>
                <w:szCs w:val="24"/>
              </w:rPr>
              <w:t>hepatocytes</w:t>
            </w:r>
            <w:proofErr w:type="spellEnd"/>
            <w:r w:rsidRPr="003F4F50">
              <w:rPr>
                <w:rFonts w:ascii="Times New Roman" w:eastAsia="Times New Roman" w:hAnsi="Times New Roman" w:cs="Times New Roman"/>
                <w:sz w:val="24"/>
                <w:szCs w:val="24"/>
              </w:rPr>
              <w:t xml:space="preserve">, extending later to all </w:t>
            </w:r>
            <w:proofErr w:type="spellStart"/>
            <w:r w:rsidRPr="003F4F50">
              <w:rPr>
                <w:rFonts w:ascii="Times New Roman" w:eastAsia="Times New Roman" w:hAnsi="Times New Roman" w:cs="Times New Roman"/>
                <w:sz w:val="24"/>
                <w:szCs w:val="24"/>
              </w:rPr>
              <w:t>hepatocytes</w:t>
            </w:r>
            <w:proofErr w:type="spellEnd"/>
            <w:r w:rsidRPr="003F4F50">
              <w:rPr>
                <w:rFonts w:ascii="Times New Roman" w:eastAsia="Times New Roman" w:hAnsi="Times New Roman" w:cs="Times New Roman"/>
                <w:sz w:val="24"/>
                <w:szCs w:val="24"/>
              </w:rPr>
              <w:t xml:space="preserve">. The gradual development of fibrous septa leads to the formation of irregular nodules, and finally regeneration results in </w:t>
            </w:r>
            <w:proofErr w:type="spellStart"/>
            <w:r w:rsidRPr="003F4F50">
              <w:rPr>
                <w:rFonts w:ascii="Times New Roman" w:eastAsia="Times New Roman" w:hAnsi="Times New Roman" w:cs="Times New Roman"/>
                <w:sz w:val="24"/>
                <w:szCs w:val="24"/>
              </w:rPr>
              <w:t>macronodular</w:t>
            </w:r>
            <w:proofErr w:type="spellEnd"/>
            <w:r w:rsidRPr="003F4F50">
              <w:rPr>
                <w:rFonts w:ascii="Times New Roman" w:eastAsia="Times New Roman" w:hAnsi="Times New Roman" w:cs="Times New Roman"/>
                <w:sz w:val="24"/>
                <w:szCs w:val="24"/>
              </w:rPr>
              <w:t xml:space="preserve"> cirrhosis. An excess of liver iron can occur in alcoholic cirrhosis but this is mild by comparison with </w:t>
            </w:r>
            <w:proofErr w:type="spellStart"/>
            <w:r w:rsidRPr="003F4F50">
              <w:rPr>
                <w:rFonts w:ascii="Times New Roman" w:eastAsia="Times New Roman" w:hAnsi="Times New Roman" w:cs="Times New Roman"/>
                <w:sz w:val="24"/>
                <w:szCs w:val="24"/>
              </w:rPr>
              <w:t>haemochromatosis</w:t>
            </w:r>
            <w:proofErr w:type="spellEnd"/>
            <w:r w:rsidRPr="003F4F50">
              <w:rPr>
                <w:rFonts w:ascii="Times New Roman" w:eastAsia="Times New Roman" w:hAnsi="Times New Roman" w:cs="Times New Roman"/>
                <w:sz w:val="24"/>
                <w:szCs w:val="24"/>
              </w:rPr>
              <w:t xml:space="preserve">. </w:t>
            </w:r>
          </w:p>
        </w:tc>
      </w:tr>
    </w:tbl>
    <w:p w:rsidR="003F4F50" w:rsidRPr="003F4F50" w:rsidRDefault="003F4F50" w:rsidP="003F4F50">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8640"/>
      </w:tblGrid>
      <w:tr w:rsidR="003F4F50" w:rsidRPr="003F4F50" w:rsidTr="003F4F50">
        <w:trPr>
          <w:tblCellSpacing w:w="0" w:type="dxa"/>
        </w:trPr>
        <w:tc>
          <w:tcPr>
            <w:tcW w:w="5000" w:type="pct"/>
            <w:shd w:val="clear" w:color="auto" w:fill="FFFFFF"/>
            <w:vAlign w:val="center"/>
            <w:hideMark/>
          </w:tcPr>
          <w:p w:rsidR="003F4F50" w:rsidRPr="003F4F50" w:rsidRDefault="003F4F50" w:rsidP="003F4F50">
            <w:pPr>
              <w:spacing w:after="0" w:line="240" w:lineRule="auto"/>
              <w:rPr>
                <w:rFonts w:ascii="Times New Roman" w:eastAsia="Times New Roman" w:hAnsi="Times New Roman" w:cs="Times New Roman"/>
                <w:sz w:val="24"/>
                <w:szCs w:val="24"/>
              </w:rPr>
            </w:pPr>
            <w:bookmarkStart w:id="16" w:name="HC023186"/>
            <w:bookmarkEnd w:id="16"/>
            <w:proofErr w:type="spellStart"/>
            <w:r w:rsidRPr="003F4F50">
              <w:rPr>
                <w:rFonts w:ascii="Times New Roman" w:eastAsia="Times New Roman" w:hAnsi="Times New Roman" w:cs="Times New Roman"/>
                <w:sz w:val="24"/>
                <w:szCs w:val="24"/>
                <w:highlight w:val="yellow"/>
              </w:rPr>
              <w:t>Aetiology</w:t>
            </w:r>
            <w:proofErr w:type="spellEnd"/>
            <w:r w:rsidRPr="003F4F50">
              <w:rPr>
                <w:rFonts w:ascii="Times New Roman" w:eastAsia="Times New Roman" w:hAnsi="Times New Roman" w:cs="Times New Roman"/>
                <w:sz w:val="24"/>
                <w:szCs w:val="24"/>
              </w:rPr>
              <w:t xml:space="preserve"> </w:t>
            </w:r>
          </w:p>
        </w:tc>
      </w:tr>
    </w:tbl>
    <w:p w:rsidR="003F4F50" w:rsidRPr="003F4F50" w:rsidRDefault="003F4F50" w:rsidP="003F4F50">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8640"/>
      </w:tblGrid>
      <w:tr w:rsidR="003F4F50" w:rsidRPr="003F4F50" w:rsidTr="003F4F50">
        <w:trPr>
          <w:tblCellSpacing w:w="0" w:type="dxa"/>
        </w:trPr>
        <w:tc>
          <w:tcPr>
            <w:tcW w:w="5000" w:type="pct"/>
            <w:shd w:val="clear" w:color="auto" w:fill="FFFFFF"/>
            <w:vAlign w:val="center"/>
            <w:hideMark/>
          </w:tcPr>
          <w:p w:rsidR="003F4F50" w:rsidRPr="003F4F50" w:rsidRDefault="003F4F50" w:rsidP="003F4F50">
            <w:pPr>
              <w:spacing w:after="0" w:line="240" w:lineRule="auto"/>
              <w:rPr>
                <w:rFonts w:ascii="Times New Roman" w:eastAsia="Times New Roman" w:hAnsi="Times New Roman" w:cs="Times New Roman"/>
                <w:sz w:val="24"/>
                <w:szCs w:val="24"/>
              </w:rPr>
            </w:pPr>
            <w:bookmarkStart w:id="17" w:name="P023314"/>
            <w:bookmarkEnd w:id="17"/>
            <w:r w:rsidRPr="003F4F50">
              <w:rPr>
                <w:rFonts w:ascii="Times New Roman" w:eastAsia="Times New Roman" w:hAnsi="Times New Roman" w:cs="Times New Roman"/>
                <w:sz w:val="24"/>
                <w:szCs w:val="24"/>
              </w:rPr>
              <w:t xml:space="preserve">Hereditary </w:t>
            </w:r>
            <w:proofErr w:type="spellStart"/>
            <w:r w:rsidRPr="003F4F50">
              <w:rPr>
                <w:rFonts w:ascii="Times New Roman" w:eastAsia="Times New Roman" w:hAnsi="Times New Roman" w:cs="Times New Roman"/>
                <w:sz w:val="24"/>
                <w:szCs w:val="24"/>
              </w:rPr>
              <w:t>haemochromatosis</w:t>
            </w:r>
            <w:proofErr w:type="spellEnd"/>
            <w:r w:rsidRPr="003F4F50">
              <w:rPr>
                <w:rFonts w:ascii="Times New Roman" w:eastAsia="Times New Roman" w:hAnsi="Times New Roman" w:cs="Times New Roman"/>
                <w:sz w:val="24"/>
                <w:szCs w:val="24"/>
              </w:rPr>
              <w:t xml:space="preserve"> (HHC) is caused by increased absorption of dietary iron and is inherited as an </w:t>
            </w:r>
            <w:proofErr w:type="spellStart"/>
            <w:r w:rsidRPr="003F4F50">
              <w:rPr>
                <w:rFonts w:ascii="Times New Roman" w:eastAsia="Times New Roman" w:hAnsi="Times New Roman" w:cs="Times New Roman"/>
                <w:sz w:val="24"/>
                <w:szCs w:val="24"/>
              </w:rPr>
              <w:t>autosomal</w:t>
            </w:r>
            <w:proofErr w:type="spellEnd"/>
            <w:r w:rsidRPr="003F4F50">
              <w:rPr>
                <w:rFonts w:ascii="Times New Roman" w:eastAsia="Times New Roman" w:hAnsi="Times New Roman" w:cs="Times New Roman"/>
                <w:sz w:val="24"/>
                <w:szCs w:val="24"/>
              </w:rPr>
              <w:t xml:space="preserve"> recessive gene located on chromosome 6. Approximately 90% of patients have a single-point mutation resulting in a </w:t>
            </w:r>
            <w:proofErr w:type="spellStart"/>
            <w:r w:rsidRPr="003F4F50">
              <w:rPr>
                <w:rFonts w:ascii="Times New Roman" w:eastAsia="Times New Roman" w:hAnsi="Times New Roman" w:cs="Times New Roman"/>
                <w:sz w:val="24"/>
                <w:szCs w:val="24"/>
              </w:rPr>
              <w:t>cysteine</w:t>
            </w:r>
            <w:proofErr w:type="spellEnd"/>
            <w:r w:rsidRPr="003F4F50">
              <w:rPr>
                <w:rFonts w:ascii="Times New Roman" w:eastAsia="Times New Roman" w:hAnsi="Times New Roman" w:cs="Times New Roman"/>
                <w:sz w:val="24"/>
                <w:szCs w:val="24"/>
              </w:rPr>
              <w:t xml:space="preserve"> to tyrosine substitution at position 282 (C282Y) in a protein (HFE) with structural and functional similarity to the human </w:t>
            </w:r>
            <w:proofErr w:type="spellStart"/>
            <w:r w:rsidRPr="003F4F50">
              <w:rPr>
                <w:rFonts w:ascii="Times New Roman" w:eastAsia="Times New Roman" w:hAnsi="Times New Roman" w:cs="Times New Roman"/>
                <w:sz w:val="24"/>
                <w:szCs w:val="24"/>
              </w:rPr>
              <w:t>leucocyte</w:t>
            </w:r>
            <w:proofErr w:type="spellEnd"/>
            <w:r w:rsidRPr="003F4F50">
              <w:rPr>
                <w:rFonts w:ascii="Times New Roman" w:eastAsia="Times New Roman" w:hAnsi="Times New Roman" w:cs="Times New Roman"/>
                <w:sz w:val="24"/>
                <w:szCs w:val="24"/>
              </w:rPr>
              <w:t xml:space="preserve"> antigen (HLA) proteins. The exact function of the HFE protein in regulating iron absorption is not known. However, it is believed that HFE is absent from the </w:t>
            </w:r>
            <w:proofErr w:type="spellStart"/>
            <w:r w:rsidRPr="003F4F50">
              <w:rPr>
                <w:rFonts w:ascii="Times New Roman" w:eastAsia="Times New Roman" w:hAnsi="Times New Roman" w:cs="Times New Roman"/>
                <w:sz w:val="24"/>
                <w:szCs w:val="24"/>
              </w:rPr>
              <w:t>basolateral</w:t>
            </w:r>
            <w:proofErr w:type="spellEnd"/>
            <w:r w:rsidRPr="003F4F50">
              <w:rPr>
                <w:rFonts w:ascii="Times New Roman" w:eastAsia="Times New Roman" w:hAnsi="Times New Roman" w:cs="Times New Roman"/>
                <w:sz w:val="24"/>
                <w:szCs w:val="24"/>
              </w:rPr>
              <w:t xml:space="preserve"> membrane of intestinal epithelial cells, where it normally interacts with the </w:t>
            </w:r>
            <w:proofErr w:type="spellStart"/>
            <w:r w:rsidRPr="003F4F50">
              <w:rPr>
                <w:rFonts w:ascii="Times New Roman" w:eastAsia="Times New Roman" w:hAnsi="Times New Roman" w:cs="Times New Roman"/>
                <w:sz w:val="24"/>
                <w:szCs w:val="24"/>
              </w:rPr>
              <w:t>transferrin</w:t>
            </w:r>
            <w:proofErr w:type="spellEnd"/>
            <w:r w:rsidRPr="003F4F50">
              <w:rPr>
                <w:rFonts w:ascii="Times New Roman" w:eastAsia="Times New Roman" w:hAnsi="Times New Roman" w:cs="Times New Roman"/>
                <w:sz w:val="24"/>
                <w:szCs w:val="24"/>
              </w:rPr>
              <w:t xml:space="preserve"> receptor. This defect in uptake of </w:t>
            </w:r>
            <w:proofErr w:type="spellStart"/>
            <w:r w:rsidRPr="003F4F50">
              <w:rPr>
                <w:rFonts w:ascii="Times New Roman" w:eastAsia="Times New Roman" w:hAnsi="Times New Roman" w:cs="Times New Roman"/>
                <w:sz w:val="24"/>
                <w:szCs w:val="24"/>
              </w:rPr>
              <w:t>transferrin</w:t>
            </w:r>
            <w:proofErr w:type="spellEnd"/>
            <w:r w:rsidRPr="003F4F50">
              <w:rPr>
                <w:rFonts w:ascii="Times New Roman" w:eastAsia="Times New Roman" w:hAnsi="Times New Roman" w:cs="Times New Roman"/>
                <w:sz w:val="24"/>
                <w:szCs w:val="24"/>
              </w:rPr>
              <w:t xml:space="preserve">-associated iron may lead to up-regulation of </w:t>
            </w:r>
            <w:proofErr w:type="spellStart"/>
            <w:r w:rsidRPr="003F4F50">
              <w:rPr>
                <w:rFonts w:ascii="Times New Roman" w:eastAsia="Times New Roman" w:hAnsi="Times New Roman" w:cs="Times New Roman"/>
                <w:sz w:val="24"/>
                <w:szCs w:val="24"/>
              </w:rPr>
              <w:t>enterocyte</w:t>
            </w:r>
            <w:proofErr w:type="spellEnd"/>
            <w:r w:rsidRPr="003F4F50">
              <w:rPr>
                <w:rFonts w:ascii="Times New Roman" w:eastAsia="Times New Roman" w:hAnsi="Times New Roman" w:cs="Times New Roman"/>
                <w:sz w:val="24"/>
                <w:szCs w:val="24"/>
              </w:rPr>
              <w:t xml:space="preserve"> iron-specific divalent metal transporters and excessive iron absorption. A </w:t>
            </w:r>
            <w:proofErr w:type="spellStart"/>
            <w:r w:rsidRPr="003F4F50">
              <w:rPr>
                <w:rFonts w:ascii="Times New Roman" w:eastAsia="Times New Roman" w:hAnsi="Times New Roman" w:cs="Times New Roman"/>
                <w:sz w:val="24"/>
                <w:szCs w:val="24"/>
              </w:rPr>
              <w:t>histidine</w:t>
            </w:r>
            <w:proofErr w:type="spellEnd"/>
            <w:r w:rsidRPr="003F4F50">
              <w:rPr>
                <w:rFonts w:ascii="Times New Roman" w:eastAsia="Times New Roman" w:hAnsi="Times New Roman" w:cs="Times New Roman"/>
                <w:sz w:val="24"/>
                <w:szCs w:val="24"/>
              </w:rPr>
              <w:t xml:space="preserve"> to aspartic acid mutation at position 63 (H63D) in HFE causes a less severe form of </w:t>
            </w:r>
            <w:proofErr w:type="spellStart"/>
            <w:r w:rsidRPr="003F4F50">
              <w:rPr>
                <w:rFonts w:ascii="Times New Roman" w:eastAsia="Times New Roman" w:hAnsi="Times New Roman" w:cs="Times New Roman"/>
                <w:sz w:val="24"/>
                <w:szCs w:val="24"/>
              </w:rPr>
              <w:t>haemochromatosis</w:t>
            </w:r>
            <w:proofErr w:type="spellEnd"/>
            <w:r w:rsidRPr="003F4F50">
              <w:rPr>
                <w:rFonts w:ascii="Times New Roman" w:eastAsia="Times New Roman" w:hAnsi="Times New Roman" w:cs="Times New Roman"/>
                <w:sz w:val="24"/>
                <w:szCs w:val="24"/>
              </w:rPr>
              <w:t xml:space="preserve"> that is most commonly found in </w:t>
            </w:r>
            <w:r w:rsidRPr="003F4F50">
              <w:rPr>
                <w:rFonts w:ascii="Times New Roman" w:eastAsia="Times New Roman" w:hAnsi="Times New Roman" w:cs="Times New Roman"/>
                <w:sz w:val="24"/>
                <w:szCs w:val="24"/>
              </w:rPr>
              <w:lastRenderedPageBreak/>
              <w:t xml:space="preserve">patients who are compound </w:t>
            </w:r>
            <w:proofErr w:type="spellStart"/>
            <w:r w:rsidRPr="003F4F50">
              <w:rPr>
                <w:rFonts w:ascii="Times New Roman" w:eastAsia="Times New Roman" w:hAnsi="Times New Roman" w:cs="Times New Roman"/>
                <w:sz w:val="24"/>
                <w:szCs w:val="24"/>
              </w:rPr>
              <w:t>heterozygotes</w:t>
            </w:r>
            <w:proofErr w:type="spellEnd"/>
            <w:r w:rsidRPr="003F4F50">
              <w:rPr>
                <w:rFonts w:ascii="Times New Roman" w:eastAsia="Times New Roman" w:hAnsi="Times New Roman" w:cs="Times New Roman"/>
                <w:sz w:val="24"/>
                <w:szCs w:val="24"/>
              </w:rPr>
              <w:t xml:space="preserve"> also carrying a C282Y mutated allele. Fewer than 50% of C282Y </w:t>
            </w:r>
            <w:proofErr w:type="spellStart"/>
            <w:r w:rsidRPr="003F4F50">
              <w:rPr>
                <w:rFonts w:ascii="Times New Roman" w:eastAsia="Times New Roman" w:hAnsi="Times New Roman" w:cs="Times New Roman"/>
                <w:sz w:val="24"/>
                <w:szCs w:val="24"/>
              </w:rPr>
              <w:t>homozygotes</w:t>
            </w:r>
            <w:proofErr w:type="spellEnd"/>
            <w:r w:rsidRPr="003F4F50">
              <w:rPr>
                <w:rFonts w:ascii="Times New Roman" w:eastAsia="Times New Roman" w:hAnsi="Times New Roman" w:cs="Times New Roman"/>
                <w:sz w:val="24"/>
                <w:szCs w:val="24"/>
              </w:rPr>
              <w:t xml:space="preserve"> will develop clinical features of </w:t>
            </w:r>
            <w:proofErr w:type="spellStart"/>
            <w:r w:rsidRPr="003F4F50">
              <w:rPr>
                <w:rFonts w:ascii="Times New Roman" w:eastAsia="Times New Roman" w:hAnsi="Times New Roman" w:cs="Times New Roman"/>
                <w:sz w:val="24"/>
                <w:szCs w:val="24"/>
              </w:rPr>
              <w:t>haemochromatosis</w:t>
            </w:r>
            <w:proofErr w:type="spellEnd"/>
            <w:r w:rsidRPr="003F4F50">
              <w:rPr>
                <w:rFonts w:ascii="Times New Roman" w:eastAsia="Times New Roman" w:hAnsi="Times New Roman" w:cs="Times New Roman"/>
                <w:sz w:val="24"/>
                <w:szCs w:val="24"/>
              </w:rPr>
              <w:t xml:space="preserve">; therefore other factors must also be important. Iron loss in menstruation and pregnancy may protect females, as 90% of patients are male. </w:t>
            </w:r>
          </w:p>
        </w:tc>
      </w:tr>
    </w:tbl>
    <w:p w:rsidR="003F4F50" w:rsidRPr="003F4F50" w:rsidRDefault="003F4F50" w:rsidP="003F4F50">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8640"/>
      </w:tblGrid>
      <w:tr w:rsidR="003F4F50" w:rsidRPr="003F4F50" w:rsidTr="003F4F50">
        <w:trPr>
          <w:tblCellSpacing w:w="0" w:type="dxa"/>
        </w:trPr>
        <w:tc>
          <w:tcPr>
            <w:tcW w:w="5000" w:type="pct"/>
            <w:shd w:val="clear" w:color="auto" w:fill="FFFFFF"/>
            <w:vAlign w:val="center"/>
            <w:hideMark/>
          </w:tcPr>
          <w:p w:rsidR="003F4F50" w:rsidRPr="003F4F50" w:rsidRDefault="003F4F50" w:rsidP="003F4F50">
            <w:pPr>
              <w:spacing w:after="0" w:line="240" w:lineRule="auto"/>
              <w:rPr>
                <w:rFonts w:ascii="Times New Roman" w:eastAsia="Times New Roman" w:hAnsi="Times New Roman" w:cs="Times New Roman"/>
                <w:sz w:val="24"/>
                <w:szCs w:val="24"/>
              </w:rPr>
            </w:pPr>
            <w:bookmarkStart w:id="18" w:name="HC023187"/>
            <w:bookmarkEnd w:id="18"/>
            <w:r w:rsidRPr="003F4F50">
              <w:rPr>
                <w:rFonts w:ascii="Times New Roman" w:eastAsia="Times New Roman" w:hAnsi="Times New Roman" w:cs="Times New Roman"/>
                <w:sz w:val="24"/>
                <w:szCs w:val="24"/>
                <w:highlight w:val="yellow"/>
              </w:rPr>
              <w:t>Clinical features</w:t>
            </w:r>
            <w:r w:rsidRPr="003F4F50">
              <w:rPr>
                <w:rFonts w:ascii="Times New Roman" w:eastAsia="Times New Roman" w:hAnsi="Times New Roman" w:cs="Times New Roman"/>
                <w:sz w:val="24"/>
                <w:szCs w:val="24"/>
              </w:rPr>
              <w:t xml:space="preserve"> </w:t>
            </w:r>
          </w:p>
        </w:tc>
      </w:tr>
    </w:tbl>
    <w:p w:rsidR="003F4F50" w:rsidRPr="003F4F50" w:rsidRDefault="003F4F50" w:rsidP="003F4F50">
      <w:pPr>
        <w:spacing w:after="0" w:line="240" w:lineRule="auto"/>
        <w:rPr>
          <w:rFonts w:ascii="Times New Roman" w:eastAsia="Times New Roman" w:hAnsi="Times New Roman" w:cs="Times New Roman"/>
          <w:vanish/>
          <w:sz w:val="24"/>
          <w:szCs w:val="24"/>
        </w:rPr>
      </w:pPr>
    </w:p>
    <w:p w:rsidR="003F4F50" w:rsidRPr="003F4F50" w:rsidRDefault="003F4F50" w:rsidP="003F4F50">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8640"/>
      </w:tblGrid>
      <w:tr w:rsidR="003F4F50" w:rsidRPr="003F4F50" w:rsidTr="003F4F50">
        <w:trPr>
          <w:tblCellSpacing w:w="0" w:type="dxa"/>
        </w:trPr>
        <w:tc>
          <w:tcPr>
            <w:tcW w:w="5000" w:type="pct"/>
            <w:shd w:val="clear" w:color="auto" w:fill="FFFFFF"/>
            <w:vAlign w:val="center"/>
            <w:hideMark/>
          </w:tcPr>
          <w:p w:rsidR="003F4F50" w:rsidRPr="003F4F50" w:rsidRDefault="003F4F50" w:rsidP="003F4F50">
            <w:pPr>
              <w:spacing w:after="0" w:line="240" w:lineRule="auto"/>
              <w:rPr>
                <w:rFonts w:ascii="Times New Roman" w:eastAsia="Times New Roman" w:hAnsi="Times New Roman" w:cs="Times New Roman"/>
                <w:sz w:val="24"/>
                <w:szCs w:val="24"/>
              </w:rPr>
            </w:pPr>
            <w:bookmarkStart w:id="19" w:name="P023315"/>
            <w:bookmarkEnd w:id="19"/>
            <w:r w:rsidRPr="003F4F50">
              <w:rPr>
                <w:rFonts w:ascii="Times New Roman" w:eastAsia="Times New Roman" w:hAnsi="Times New Roman" w:cs="Times New Roman"/>
                <w:sz w:val="24"/>
                <w:szCs w:val="24"/>
              </w:rPr>
              <w:t xml:space="preserve">Symptomatic disease usually presents in men aged 40 years or over with features of hepatic cirrhosis (especially </w:t>
            </w:r>
            <w:proofErr w:type="spellStart"/>
            <w:r w:rsidRPr="003F4F50">
              <w:rPr>
                <w:rFonts w:ascii="Times New Roman" w:eastAsia="Times New Roman" w:hAnsi="Times New Roman" w:cs="Times New Roman"/>
                <w:sz w:val="24"/>
                <w:szCs w:val="24"/>
              </w:rPr>
              <w:t>hepatomegaly</w:t>
            </w:r>
            <w:proofErr w:type="spellEnd"/>
            <w:r w:rsidRPr="003F4F50">
              <w:rPr>
                <w:rFonts w:ascii="Times New Roman" w:eastAsia="Times New Roman" w:hAnsi="Times New Roman" w:cs="Times New Roman"/>
                <w:sz w:val="24"/>
                <w:szCs w:val="24"/>
              </w:rPr>
              <w:t xml:space="preserve">), diabetes mellitus or heart failure. Tiredness, fatigue and </w:t>
            </w:r>
            <w:proofErr w:type="spellStart"/>
            <w:r w:rsidRPr="003F4F50">
              <w:rPr>
                <w:rFonts w:ascii="Times New Roman" w:eastAsia="Times New Roman" w:hAnsi="Times New Roman" w:cs="Times New Roman"/>
                <w:sz w:val="24"/>
                <w:szCs w:val="24"/>
              </w:rPr>
              <w:t>arthropathy</w:t>
            </w:r>
            <w:proofErr w:type="spellEnd"/>
            <w:r w:rsidRPr="003F4F50">
              <w:rPr>
                <w:rFonts w:ascii="Times New Roman" w:eastAsia="Times New Roman" w:hAnsi="Times New Roman" w:cs="Times New Roman"/>
                <w:sz w:val="24"/>
                <w:szCs w:val="24"/>
              </w:rPr>
              <w:t xml:space="preserve"> are early symptoms. Leaden-grey skin pigmentation due to excess melanin occurs, especially in exposed parts, </w:t>
            </w:r>
            <w:proofErr w:type="spellStart"/>
            <w:r w:rsidRPr="003F4F50">
              <w:rPr>
                <w:rFonts w:ascii="Times New Roman" w:eastAsia="Times New Roman" w:hAnsi="Times New Roman" w:cs="Times New Roman"/>
                <w:sz w:val="24"/>
                <w:szCs w:val="24"/>
              </w:rPr>
              <w:t>axillae</w:t>
            </w:r>
            <w:proofErr w:type="spellEnd"/>
            <w:r w:rsidRPr="003F4F50">
              <w:rPr>
                <w:rFonts w:ascii="Times New Roman" w:eastAsia="Times New Roman" w:hAnsi="Times New Roman" w:cs="Times New Roman"/>
                <w:sz w:val="24"/>
                <w:szCs w:val="24"/>
              </w:rPr>
              <w:t xml:space="preserve">, groins and genitalia; hence the term 'bronzed diabetes'. Impotence, loss of libido, testicular atrophy and arthritis with </w:t>
            </w:r>
            <w:proofErr w:type="spellStart"/>
            <w:r w:rsidRPr="003F4F50">
              <w:rPr>
                <w:rFonts w:ascii="Times New Roman" w:eastAsia="Times New Roman" w:hAnsi="Times New Roman" w:cs="Times New Roman"/>
                <w:sz w:val="24"/>
                <w:szCs w:val="24"/>
              </w:rPr>
              <w:t>chondrocalcinosis</w:t>
            </w:r>
            <w:proofErr w:type="spellEnd"/>
            <w:r w:rsidRPr="003F4F50">
              <w:rPr>
                <w:rFonts w:ascii="Times New Roman" w:eastAsia="Times New Roman" w:hAnsi="Times New Roman" w:cs="Times New Roman"/>
                <w:sz w:val="24"/>
                <w:szCs w:val="24"/>
              </w:rPr>
              <w:t xml:space="preserve"> secondary to calcium pyrophosphate deposition are also common. Cardiac failure or cardiac </w:t>
            </w:r>
            <w:proofErr w:type="spellStart"/>
            <w:r w:rsidRPr="003F4F50">
              <w:rPr>
                <w:rFonts w:ascii="Times New Roman" w:eastAsia="Times New Roman" w:hAnsi="Times New Roman" w:cs="Times New Roman"/>
                <w:sz w:val="24"/>
                <w:szCs w:val="24"/>
              </w:rPr>
              <w:t>dysrhythmia</w:t>
            </w:r>
            <w:proofErr w:type="spellEnd"/>
            <w:r w:rsidRPr="003F4F50">
              <w:rPr>
                <w:rFonts w:ascii="Times New Roman" w:eastAsia="Times New Roman" w:hAnsi="Times New Roman" w:cs="Times New Roman"/>
                <w:sz w:val="24"/>
                <w:szCs w:val="24"/>
              </w:rPr>
              <w:t xml:space="preserve"> may complicate heart muscle disease. </w:t>
            </w:r>
          </w:p>
        </w:tc>
      </w:tr>
    </w:tbl>
    <w:p w:rsidR="003F4F50" w:rsidRPr="003F4F50" w:rsidRDefault="003F4F50" w:rsidP="003F4F50">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8640"/>
      </w:tblGrid>
      <w:tr w:rsidR="003F4F50" w:rsidRPr="003F4F50" w:rsidTr="003F4F50">
        <w:trPr>
          <w:tblCellSpacing w:w="0" w:type="dxa"/>
        </w:trPr>
        <w:tc>
          <w:tcPr>
            <w:tcW w:w="5000" w:type="pct"/>
            <w:shd w:val="clear" w:color="auto" w:fill="FFFFFF"/>
            <w:vAlign w:val="center"/>
            <w:hideMark/>
          </w:tcPr>
          <w:p w:rsidR="003F4F50" w:rsidRPr="003F4F50" w:rsidRDefault="003F4F50" w:rsidP="003F4F50">
            <w:pPr>
              <w:spacing w:after="0" w:line="240" w:lineRule="auto"/>
              <w:rPr>
                <w:rFonts w:ascii="Times New Roman" w:eastAsia="Times New Roman" w:hAnsi="Times New Roman" w:cs="Times New Roman"/>
                <w:sz w:val="24"/>
                <w:szCs w:val="24"/>
              </w:rPr>
            </w:pPr>
            <w:bookmarkStart w:id="20" w:name="HC023188"/>
            <w:bookmarkEnd w:id="20"/>
            <w:r w:rsidRPr="003F4F50">
              <w:rPr>
                <w:rFonts w:ascii="Times New Roman" w:eastAsia="Times New Roman" w:hAnsi="Times New Roman" w:cs="Times New Roman"/>
                <w:sz w:val="24"/>
                <w:szCs w:val="24"/>
                <w:highlight w:val="yellow"/>
              </w:rPr>
              <w:t>Investigations</w:t>
            </w:r>
            <w:r w:rsidRPr="003F4F50">
              <w:rPr>
                <w:rFonts w:ascii="Times New Roman" w:eastAsia="Times New Roman" w:hAnsi="Times New Roman" w:cs="Times New Roman"/>
                <w:sz w:val="24"/>
                <w:szCs w:val="24"/>
              </w:rPr>
              <w:t xml:space="preserve"> </w:t>
            </w:r>
          </w:p>
        </w:tc>
      </w:tr>
    </w:tbl>
    <w:p w:rsidR="003F4F50" w:rsidRPr="003F4F50" w:rsidRDefault="003F4F50" w:rsidP="003F4F50">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8640"/>
      </w:tblGrid>
      <w:tr w:rsidR="003F4F50" w:rsidRPr="003F4F50" w:rsidTr="003F4F50">
        <w:trPr>
          <w:tblCellSpacing w:w="0" w:type="dxa"/>
        </w:trPr>
        <w:tc>
          <w:tcPr>
            <w:tcW w:w="5000" w:type="pct"/>
            <w:shd w:val="clear" w:color="auto" w:fill="FFFFFF"/>
            <w:vAlign w:val="center"/>
            <w:hideMark/>
          </w:tcPr>
          <w:p w:rsidR="003F4F50" w:rsidRPr="003F4F50" w:rsidRDefault="003F4F50" w:rsidP="003F4F50">
            <w:pPr>
              <w:spacing w:after="0" w:line="240" w:lineRule="auto"/>
              <w:rPr>
                <w:rFonts w:ascii="Times New Roman" w:eastAsia="Times New Roman" w:hAnsi="Times New Roman" w:cs="Times New Roman"/>
                <w:sz w:val="24"/>
                <w:szCs w:val="24"/>
              </w:rPr>
            </w:pPr>
            <w:bookmarkStart w:id="21" w:name="P023317"/>
            <w:bookmarkEnd w:id="21"/>
            <w:r w:rsidRPr="003F4F50">
              <w:rPr>
                <w:rFonts w:ascii="Times New Roman" w:eastAsia="Times New Roman" w:hAnsi="Times New Roman" w:cs="Times New Roman"/>
                <w:sz w:val="24"/>
                <w:szCs w:val="24"/>
              </w:rPr>
              <w:t xml:space="preserve">The serum </w:t>
            </w:r>
            <w:proofErr w:type="spellStart"/>
            <w:r w:rsidRPr="003F4F50">
              <w:rPr>
                <w:rFonts w:ascii="Times New Roman" w:eastAsia="Times New Roman" w:hAnsi="Times New Roman" w:cs="Times New Roman"/>
                <w:sz w:val="24"/>
                <w:szCs w:val="24"/>
              </w:rPr>
              <w:t>ferritin</w:t>
            </w:r>
            <w:proofErr w:type="spellEnd"/>
            <w:r w:rsidRPr="003F4F50">
              <w:rPr>
                <w:rFonts w:ascii="Times New Roman" w:eastAsia="Times New Roman" w:hAnsi="Times New Roman" w:cs="Times New Roman"/>
                <w:sz w:val="24"/>
                <w:szCs w:val="24"/>
              </w:rPr>
              <w:t xml:space="preserve"> is greatly increased; the plasma iron is also increased, with a highly saturated plasma iron-binding capacity. CT may show features suggesting excess hepatic iron. The diagnosis is confirmed by liver biopsy, which shows heavy iron deposition and hepatic fibrosis which may have progressed to cirrhosis (</w:t>
            </w:r>
            <w:hyperlink r:id="rId6" w:tooltip="View now" w:history="1">
              <w:r w:rsidRPr="003F4F50">
                <w:rPr>
                  <w:rFonts w:ascii="Times New Roman" w:eastAsia="Times New Roman" w:hAnsi="Times New Roman" w:cs="Times New Roman"/>
                  <w:color w:val="0000FF"/>
                  <w:sz w:val="24"/>
                  <w:szCs w:val="24"/>
                  <w:u w:val="single"/>
                </w:rPr>
                <w:t>Fig. 23.32</w:t>
              </w:r>
            </w:hyperlink>
            <w:r w:rsidRPr="003F4F50">
              <w:rPr>
                <w:rFonts w:ascii="Times New Roman" w:eastAsia="Times New Roman" w:hAnsi="Times New Roman" w:cs="Times New Roman"/>
                <w:sz w:val="24"/>
                <w:szCs w:val="24"/>
              </w:rPr>
              <w:t xml:space="preserve">). The iron content of the liver can be measured directly. Both the C282Y and H63D mutations can be identified by genetic testing. </w:t>
            </w:r>
          </w:p>
        </w:tc>
      </w:tr>
    </w:tbl>
    <w:p w:rsidR="003F4F50" w:rsidRPr="003F4F50" w:rsidRDefault="003F4F50" w:rsidP="003F4F50">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8640"/>
      </w:tblGrid>
      <w:tr w:rsidR="003F4F50" w:rsidRPr="003F4F50" w:rsidTr="003F4F50">
        <w:trPr>
          <w:tblCellSpacing w:w="0" w:type="dxa"/>
        </w:trPr>
        <w:tc>
          <w:tcPr>
            <w:tcW w:w="5000" w:type="pct"/>
            <w:shd w:val="clear" w:color="auto" w:fill="FFFFFF"/>
            <w:vAlign w:val="center"/>
            <w:hideMark/>
          </w:tcPr>
          <w:p w:rsidR="003F4F50" w:rsidRPr="003F4F50" w:rsidRDefault="003F4F50" w:rsidP="003F4F50">
            <w:pPr>
              <w:spacing w:after="0" w:line="240" w:lineRule="auto"/>
              <w:rPr>
                <w:rFonts w:ascii="Times New Roman" w:eastAsia="Times New Roman" w:hAnsi="Times New Roman" w:cs="Times New Roman"/>
                <w:sz w:val="24"/>
                <w:szCs w:val="24"/>
              </w:rPr>
            </w:pPr>
            <w:bookmarkStart w:id="22" w:name="HC023189"/>
            <w:bookmarkEnd w:id="22"/>
            <w:r w:rsidRPr="003F4F50">
              <w:rPr>
                <w:rFonts w:ascii="Times New Roman" w:eastAsia="Times New Roman" w:hAnsi="Times New Roman" w:cs="Times New Roman"/>
                <w:sz w:val="24"/>
                <w:szCs w:val="24"/>
                <w:highlight w:val="yellow"/>
              </w:rPr>
              <w:t>Management</w:t>
            </w:r>
            <w:r w:rsidRPr="003F4F50">
              <w:rPr>
                <w:rFonts w:ascii="Times New Roman" w:eastAsia="Times New Roman" w:hAnsi="Times New Roman" w:cs="Times New Roman"/>
                <w:sz w:val="24"/>
                <w:szCs w:val="24"/>
              </w:rPr>
              <w:t xml:space="preserve"> </w:t>
            </w:r>
          </w:p>
        </w:tc>
      </w:tr>
    </w:tbl>
    <w:p w:rsidR="003F4F50" w:rsidRPr="003F4F50" w:rsidRDefault="003F4F50" w:rsidP="003F4F50">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8640"/>
      </w:tblGrid>
      <w:tr w:rsidR="003F4F50" w:rsidRPr="003F4F50" w:rsidTr="003F4F50">
        <w:trPr>
          <w:tblCellSpacing w:w="0" w:type="dxa"/>
        </w:trPr>
        <w:tc>
          <w:tcPr>
            <w:tcW w:w="5000" w:type="pct"/>
            <w:shd w:val="clear" w:color="auto" w:fill="FFFFFF"/>
            <w:vAlign w:val="center"/>
            <w:hideMark/>
          </w:tcPr>
          <w:p w:rsidR="003F4F50" w:rsidRPr="003F4F50" w:rsidRDefault="003F4F50" w:rsidP="003F4F50">
            <w:pPr>
              <w:spacing w:after="0" w:line="240" w:lineRule="auto"/>
              <w:rPr>
                <w:rFonts w:ascii="Times New Roman" w:eastAsia="Times New Roman" w:hAnsi="Times New Roman" w:cs="Times New Roman"/>
                <w:sz w:val="24"/>
                <w:szCs w:val="24"/>
              </w:rPr>
            </w:pPr>
            <w:bookmarkStart w:id="23" w:name="P023318"/>
            <w:bookmarkEnd w:id="23"/>
            <w:r w:rsidRPr="003F4F50">
              <w:rPr>
                <w:rFonts w:ascii="Times New Roman" w:eastAsia="Times New Roman" w:hAnsi="Times New Roman" w:cs="Times New Roman"/>
                <w:sz w:val="24"/>
                <w:szCs w:val="24"/>
              </w:rPr>
              <w:t xml:space="preserve">Treatment consists of weekly </w:t>
            </w:r>
            <w:proofErr w:type="spellStart"/>
            <w:r w:rsidRPr="003F4F50">
              <w:rPr>
                <w:rFonts w:ascii="Times New Roman" w:eastAsia="Times New Roman" w:hAnsi="Times New Roman" w:cs="Times New Roman"/>
                <w:sz w:val="24"/>
                <w:szCs w:val="24"/>
              </w:rPr>
              <w:t>venesection</w:t>
            </w:r>
            <w:proofErr w:type="spellEnd"/>
            <w:r w:rsidRPr="003F4F50">
              <w:rPr>
                <w:rFonts w:ascii="Times New Roman" w:eastAsia="Times New Roman" w:hAnsi="Times New Roman" w:cs="Times New Roman"/>
                <w:sz w:val="24"/>
                <w:szCs w:val="24"/>
              </w:rPr>
              <w:t xml:space="preserve"> of 500 ml blood (250 mg iron) until the serum iron is normal; this may take 2 years or more. Thereafter, </w:t>
            </w:r>
            <w:proofErr w:type="spellStart"/>
            <w:r w:rsidRPr="003F4F50">
              <w:rPr>
                <w:rFonts w:ascii="Times New Roman" w:eastAsia="Times New Roman" w:hAnsi="Times New Roman" w:cs="Times New Roman"/>
                <w:sz w:val="24"/>
                <w:szCs w:val="24"/>
              </w:rPr>
              <w:t>venesection</w:t>
            </w:r>
            <w:proofErr w:type="spellEnd"/>
            <w:r w:rsidRPr="003F4F50">
              <w:rPr>
                <w:rFonts w:ascii="Times New Roman" w:eastAsia="Times New Roman" w:hAnsi="Times New Roman" w:cs="Times New Roman"/>
                <w:sz w:val="24"/>
                <w:szCs w:val="24"/>
              </w:rPr>
              <w:t xml:space="preserve"> is continued as required to keep the serum </w:t>
            </w:r>
            <w:proofErr w:type="spellStart"/>
            <w:r w:rsidRPr="003F4F50">
              <w:rPr>
                <w:rFonts w:ascii="Times New Roman" w:eastAsia="Times New Roman" w:hAnsi="Times New Roman" w:cs="Times New Roman"/>
                <w:sz w:val="24"/>
                <w:szCs w:val="24"/>
              </w:rPr>
              <w:t>ferritin</w:t>
            </w:r>
            <w:proofErr w:type="spellEnd"/>
            <w:r w:rsidRPr="003F4F50">
              <w:rPr>
                <w:rFonts w:ascii="Times New Roman" w:eastAsia="Times New Roman" w:hAnsi="Times New Roman" w:cs="Times New Roman"/>
                <w:sz w:val="24"/>
                <w:szCs w:val="24"/>
              </w:rPr>
              <w:t xml:space="preserve"> normal. Liver and cardiac problems improve after iron removal, but joint pain is less predictable and can improve or worsen after iron removal. Diabetes mellitus does not resolve after </w:t>
            </w:r>
            <w:proofErr w:type="spellStart"/>
            <w:r w:rsidRPr="003F4F50">
              <w:rPr>
                <w:rFonts w:ascii="Times New Roman" w:eastAsia="Times New Roman" w:hAnsi="Times New Roman" w:cs="Times New Roman"/>
                <w:sz w:val="24"/>
                <w:szCs w:val="24"/>
              </w:rPr>
              <w:t>venesection</w:t>
            </w:r>
            <w:proofErr w:type="spellEnd"/>
            <w:r w:rsidRPr="003F4F50">
              <w:rPr>
                <w:rFonts w:ascii="Times New Roman" w:eastAsia="Times New Roman" w:hAnsi="Times New Roman" w:cs="Times New Roman"/>
                <w:sz w:val="24"/>
                <w:szCs w:val="24"/>
              </w:rPr>
              <w:t xml:space="preserve">. Other therapy includes that for cirrhosis and diabetes mellitus. First-degree family members should be investigated, preferably by genetic screening and also by checking the plasma </w:t>
            </w:r>
            <w:proofErr w:type="spellStart"/>
            <w:r w:rsidRPr="003F4F50">
              <w:rPr>
                <w:rFonts w:ascii="Times New Roman" w:eastAsia="Times New Roman" w:hAnsi="Times New Roman" w:cs="Times New Roman"/>
                <w:sz w:val="24"/>
                <w:szCs w:val="24"/>
              </w:rPr>
              <w:t>ferritin</w:t>
            </w:r>
            <w:proofErr w:type="spellEnd"/>
            <w:r w:rsidRPr="003F4F50">
              <w:rPr>
                <w:rFonts w:ascii="Times New Roman" w:eastAsia="Times New Roman" w:hAnsi="Times New Roman" w:cs="Times New Roman"/>
                <w:sz w:val="24"/>
                <w:szCs w:val="24"/>
              </w:rPr>
              <w:t xml:space="preserve"> and iron-binding saturation. Liver biopsy is only indicated in asymptomatic relatives if the LFTs are abnormal and/or the serum </w:t>
            </w:r>
            <w:proofErr w:type="spellStart"/>
            <w:r w:rsidRPr="003F4F50">
              <w:rPr>
                <w:rFonts w:ascii="Times New Roman" w:eastAsia="Times New Roman" w:hAnsi="Times New Roman" w:cs="Times New Roman"/>
                <w:sz w:val="24"/>
                <w:szCs w:val="24"/>
              </w:rPr>
              <w:t>ferritin</w:t>
            </w:r>
            <w:proofErr w:type="spellEnd"/>
            <w:r w:rsidRPr="003F4F50">
              <w:rPr>
                <w:rFonts w:ascii="Times New Roman" w:eastAsia="Times New Roman" w:hAnsi="Times New Roman" w:cs="Times New Roman"/>
                <w:sz w:val="24"/>
                <w:szCs w:val="24"/>
              </w:rPr>
              <w:t xml:space="preserve"> is greater than 1000 </w:t>
            </w:r>
            <w:proofErr w:type="spellStart"/>
            <w:r w:rsidRPr="003F4F50">
              <w:rPr>
                <w:rFonts w:ascii="Times New Roman" w:eastAsia="Times New Roman" w:hAnsi="Times New Roman" w:cs="Times New Roman"/>
                <w:sz w:val="24"/>
                <w:szCs w:val="24"/>
              </w:rPr>
              <w:t>μg</w:t>
            </w:r>
            <w:proofErr w:type="spellEnd"/>
            <w:r w:rsidRPr="003F4F50">
              <w:rPr>
                <w:rFonts w:ascii="Times New Roman" w:eastAsia="Times New Roman" w:hAnsi="Times New Roman" w:cs="Times New Roman"/>
                <w:sz w:val="24"/>
                <w:szCs w:val="24"/>
              </w:rPr>
              <w:t xml:space="preserve">/l because these features are associated with significant fibrosis or cirrhosis. Asymptomatic disease should also be treated by </w:t>
            </w:r>
            <w:proofErr w:type="spellStart"/>
            <w:r w:rsidRPr="003F4F50">
              <w:rPr>
                <w:rFonts w:ascii="Times New Roman" w:eastAsia="Times New Roman" w:hAnsi="Times New Roman" w:cs="Times New Roman"/>
                <w:sz w:val="24"/>
                <w:szCs w:val="24"/>
              </w:rPr>
              <w:t>venesection</w:t>
            </w:r>
            <w:proofErr w:type="spellEnd"/>
            <w:r w:rsidRPr="003F4F50">
              <w:rPr>
                <w:rFonts w:ascii="Times New Roman" w:eastAsia="Times New Roman" w:hAnsi="Times New Roman" w:cs="Times New Roman"/>
                <w:sz w:val="24"/>
                <w:szCs w:val="24"/>
              </w:rPr>
              <w:t xml:space="preserve"> until the serum </w:t>
            </w:r>
            <w:proofErr w:type="spellStart"/>
            <w:r w:rsidRPr="003F4F50">
              <w:rPr>
                <w:rFonts w:ascii="Times New Roman" w:eastAsia="Times New Roman" w:hAnsi="Times New Roman" w:cs="Times New Roman"/>
                <w:sz w:val="24"/>
                <w:szCs w:val="24"/>
              </w:rPr>
              <w:t>ferritin</w:t>
            </w:r>
            <w:proofErr w:type="spellEnd"/>
            <w:r w:rsidRPr="003F4F50">
              <w:rPr>
                <w:rFonts w:ascii="Times New Roman" w:eastAsia="Times New Roman" w:hAnsi="Times New Roman" w:cs="Times New Roman"/>
                <w:sz w:val="24"/>
                <w:szCs w:val="24"/>
              </w:rPr>
              <w:t xml:space="preserve"> is normal. </w:t>
            </w:r>
          </w:p>
        </w:tc>
      </w:tr>
    </w:tbl>
    <w:p w:rsidR="003F4F50" w:rsidRPr="003F4F50" w:rsidRDefault="003F4F50" w:rsidP="003F4F50">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8640"/>
      </w:tblGrid>
      <w:tr w:rsidR="003F4F50" w:rsidRPr="003F4F50" w:rsidTr="003F4F50">
        <w:trPr>
          <w:tblCellSpacing w:w="0" w:type="dxa"/>
        </w:trPr>
        <w:tc>
          <w:tcPr>
            <w:tcW w:w="5000" w:type="pct"/>
            <w:shd w:val="clear" w:color="auto" w:fill="FFFFFF"/>
            <w:vAlign w:val="center"/>
            <w:hideMark/>
          </w:tcPr>
          <w:p w:rsidR="003F4F50" w:rsidRPr="003F4F50" w:rsidRDefault="003F4F50" w:rsidP="003F4F50">
            <w:pPr>
              <w:spacing w:after="0" w:line="240" w:lineRule="auto"/>
              <w:rPr>
                <w:rFonts w:ascii="Times New Roman" w:eastAsia="Times New Roman" w:hAnsi="Times New Roman" w:cs="Times New Roman"/>
                <w:sz w:val="24"/>
                <w:szCs w:val="24"/>
              </w:rPr>
            </w:pPr>
            <w:bookmarkStart w:id="24" w:name="HC023190"/>
            <w:bookmarkEnd w:id="24"/>
            <w:r w:rsidRPr="003F4F50">
              <w:rPr>
                <w:rFonts w:ascii="Times New Roman" w:eastAsia="Times New Roman" w:hAnsi="Times New Roman" w:cs="Times New Roman"/>
                <w:sz w:val="24"/>
                <w:szCs w:val="24"/>
                <w:highlight w:val="yellow"/>
              </w:rPr>
              <w:t>Prognosis</w:t>
            </w:r>
            <w:r w:rsidRPr="003F4F50">
              <w:rPr>
                <w:rFonts w:ascii="Times New Roman" w:eastAsia="Times New Roman" w:hAnsi="Times New Roman" w:cs="Times New Roman"/>
                <w:sz w:val="24"/>
                <w:szCs w:val="24"/>
              </w:rPr>
              <w:t xml:space="preserve"> </w:t>
            </w:r>
          </w:p>
        </w:tc>
      </w:tr>
    </w:tbl>
    <w:p w:rsidR="003F4F50" w:rsidRPr="003F4F50" w:rsidRDefault="003F4F50" w:rsidP="003F4F50">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8640"/>
      </w:tblGrid>
      <w:tr w:rsidR="003F4F50" w:rsidRPr="003F4F50" w:rsidTr="003F4F50">
        <w:trPr>
          <w:tblCellSpacing w:w="0" w:type="dxa"/>
        </w:trPr>
        <w:tc>
          <w:tcPr>
            <w:tcW w:w="5000" w:type="pct"/>
            <w:shd w:val="clear" w:color="auto" w:fill="FFFFFF"/>
            <w:vAlign w:val="center"/>
            <w:hideMark/>
          </w:tcPr>
          <w:p w:rsidR="003F4F50" w:rsidRPr="003F4F50" w:rsidRDefault="003F4F50" w:rsidP="003F4F50">
            <w:pPr>
              <w:spacing w:after="0" w:line="240" w:lineRule="auto"/>
              <w:rPr>
                <w:rFonts w:ascii="Times New Roman" w:eastAsia="Times New Roman" w:hAnsi="Times New Roman" w:cs="Times New Roman"/>
                <w:sz w:val="24"/>
                <w:szCs w:val="24"/>
              </w:rPr>
            </w:pPr>
            <w:bookmarkStart w:id="25" w:name="P023319"/>
            <w:bookmarkEnd w:id="25"/>
            <w:r w:rsidRPr="003F4F50">
              <w:rPr>
                <w:rFonts w:ascii="Times New Roman" w:eastAsia="Times New Roman" w:hAnsi="Times New Roman" w:cs="Times New Roman"/>
                <w:sz w:val="24"/>
                <w:szCs w:val="24"/>
              </w:rPr>
              <w:t xml:space="preserve">Pre-cirrhotic patients with HHC have a normal life expectancy; even cirrhotic patients have a relatively good prognosis, compared with other forms of cirrhosis (three-quarters of patients are alive 5 years after diagnosis). This is probably because liver function is usually well preserved at diagnosis and improves with therapy. Screening for </w:t>
            </w:r>
            <w:proofErr w:type="spellStart"/>
            <w:r w:rsidRPr="003F4F50">
              <w:rPr>
                <w:rFonts w:ascii="Times New Roman" w:eastAsia="Times New Roman" w:hAnsi="Times New Roman" w:cs="Times New Roman"/>
                <w:sz w:val="24"/>
                <w:szCs w:val="24"/>
              </w:rPr>
              <w:t>hepatocellular</w:t>
            </w:r>
            <w:proofErr w:type="spellEnd"/>
            <w:r w:rsidRPr="003F4F50">
              <w:rPr>
                <w:rFonts w:ascii="Times New Roman" w:eastAsia="Times New Roman" w:hAnsi="Times New Roman" w:cs="Times New Roman"/>
                <w:sz w:val="24"/>
                <w:szCs w:val="24"/>
              </w:rPr>
              <w:t xml:space="preserve"> carcinoma (</w:t>
            </w:r>
            <w:hyperlink r:id="rId7" w:anchor="P0984" w:tooltip="Go here now" w:history="1">
              <w:r w:rsidRPr="003F4F50">
                <w:rPr>
                  <w:rFonts w:ascii="Times New Roman" w:eastAsia="Times New Roman" w:hAnsi="Times New Roman" w:cs="Times New Roman"/>
                  <w:color w:val="0000FF"/>
                  <w:sz w:val="24"/>
                  <w:szCs w:val="24"/>
                  <w:u w:val="single"/>
                </w:rPr>
                <w:t>p. 984</w:t>
              </w:r>
            </w:hyperlink>
            <w:r w:rsidRPr="003F4F50">
              <w:rPr>
                <w:rFonts w:ascii="Times New Roman" w:eastAsia="Times New Roman" w:hAnsi="Times New Roman" w:cs="Times New Roman"/>
                <w:sz w:val="24"/>
                <w:szCs w:val="24"/>
              </w:rPr>
              <w:t xml:space="preserve">) is mandatory because this is the main cause of death, affecting about one-third of patients with cirrhosis irrespective of therapy. </w:t>
            </w:r>
          </w:p>
        </w:tc>
      </w:tr>
    </w:tbl>
    <w:p w:rsidR="003F4F50" w:rsidRPr="003F4F50" w:rsidRDefault="003F4F50" w:rsidP="003F4F50">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8640"/>
      </w:tblGrid>
      <w:tr w:rsidR="003F4F50" w:rsidRPr="003F4F50" w:rsidTr="003F4F50">
        <w:trPr>
          <w:tblCellSpacing w:w="0" w:type="dxa"/>
        </w:trPr>
        <w:tc>
          <w:tcPr>
            <w:tcW w:w="5000" w:type="pct"/>
            <w:shd w:val="clear" w:color="auto" w:fill="FFFFFF"/>
            <w:vAlign w:val="center"/>
            <w:hideMark/>
          </w:tcPr>
          <w:p w:rsidR="003F4F50" w:rsidRPr="003F4F50" w:rsidRDefault="003F4F50" w:rsidP="003F4F50">
            <w:pPr>
              <w:spacing w:after="0" w:line="240" w:lineRule="auto"/>
              <w:rPr>
                <w:rFonts w:ascii="Times New Roman" w:eastAsia="Times New Roman" w:hAnsi="Times New Roman" w:cs="Times New Roman"/>
                <w:sz w:val="24"/>
                <w:szCs w:val="24"/>
              </w:rPr>
            </w:pPr>
            <w:bookmarkStart w:id="26" w:name="HC023191"/>
            <w:bookmarkEnd w:id="26"/>
            <w:r w:rsidRPr="003F4F50">
              <w:rPr>
                <w:rFonts w:ascii="Times New Roman" w:eastAsia="Times New Roman" w:hAnsi="Times New Roman" w:cs="Times New Roman"/>
                <w:sz w:val="24"/>
                <w:szCs w:val="24"/>
              </w:rPr>
              <w:t xml:space="preserve">ACQUIRED IRON OVERLOAD (SECONDARY HAEMOCHROMATOSIS) </w:t>
            </w:r>
          </w:p>
        </w:tc>
      </w:tr>
    </w:tbl>
    <w:p w:rsidR="003F4F50" w:rsidRPr="003F4F50" w:rsidRDefault="003F4F50" w:rsidP="003F4F50">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8640"/>
      </w:tblGrid>
      <w:tr w:rsidR="003F4F50" w:rsidRPr="003F4F50" w:rsidTr="003F4F50">
        <w:trPr>
          <w:tblCellSpacing w:w="0" w:type="dxa"/>
        </w:trPr>
        <w:tc>
          <w:tcPr>
            <w:tcW w:w="5000" w:type="pct"/>
            <w:shd w:val="clear" w:color="auto" w:fill="FFFFFF"/>
            <w:vAlign w:val="center"/>
            <w:hideMark/>
          </w:tcPr>
          <w:p w:rsidR="003F4F50" w:rsidRPr="003F4F50" w:rsidRDefault="003F4F50" w:rsidP="003F4F50">
            <w:pPr>
              <w:spacing w:after="0" w:line="240" w:lineRule="auto"/>
              <w:rPr>
                <w:rFonts w:ascii="Times New Roman" w:eastAsia="Times New Roman" w:hAnsi="Times New Roman" w:cs="Times New Roman"/>
                <w:sz w:val="24"/>
                <w:szCs w:val="24"/>
              </w:rPr>
            </w:pPr>
            <w:bookmarkStart w:id="27" w:name="P023320"/>
            <w:bookmarkEnd w:id="27"/>
            <w:r w:rsidRPr="003F4F50">
              <w:rPr>
                <w:rFonts w:ascii="Times New Roman" w:eastAsia="Times New Roman" w:hAnsi="Times New Roman" w:cs="Times New Roman"/>
                <w:sz w:val="24"/>
                <w:szCs w:val="24"/>
              </w:rPr>
              <w:t xml:space="preserve">Many conditions, including chronic </w:t>
            </w:r>
            <w:proofErr w:type="spellStart"/>
            <w:r w:rsidRPr="003F4F50">
              <w:rPr>
                <w:rFonts w:ascii="Times New Roman" w:eastAsia="Times New Roman" w:hAnsi="Times New Roman" w:cs="Times New Roman"/>
                <w:sz w:val="24"/>
                <w:szCs w:val="24"/>
              </w:rPr>
              <w:t>haemolytic</w:t>
            </w:r>
            <w:proofErr w:type="spellEnd"/>
            <w:r w:rsidRPr="003F4F50">
              <w:rPr>
                <w:rFonts w:ascii="Times New Roman" w:eastAsia="Times New Roman" w:hAnsi="Times New Roman" w:cs="Times New Roman"/>
                <w:sz w:val="24"/>
                <w:szCs w:val="24"/>
              </w:rPr>
              <w:t xml:space="preserve"> disorders, </w:t>
            </w:r>
            <w:proofErr w:type="spellStart"/>
            <w:r w:rsidRPr="003F4F50">
              <w:rPr>
                <w:rFonts w:ascii="Times New Roman" w:eastAsia="Times New Roman" w:hAnsi="Times New Roman" w:cs="Times New Roman"/>
                <w:sz w:val="24"/>
                <w:szCs w:val="24"/>
              </w:rPr>
              <w:t>sideroblastic</w:t>
            </w:r>
            <w:proofErr w:type="spellEnd"/>
            <w:r w:rsidRPr="003F4F50">
              <w:rPr>
                <w:rFonts w:ascii="Times New Roman" w:eastAsia="Times New Roman" w:hAnsi="Times New Roman" w:cs="Times New Roman"/>
                <w:sz w:val="24"/>
                <w:szCs w:val="24"/>
              </w:rPr>
              <w:t xml:space="preserve"> </w:t>
            </w:r>
            <w:proofErr w:type="spellStart"/>
            <w:r w:rsidRPr="003F4F50">
              <w:rPr>
                <w:rFonts w:ascii="Times New Roman" w:eastAsia="Times New Roman" w:hAnsi="Times New Roman" w:cs="Times New Roman"/>
                <w:sz w:val="24"/>
                <w:szCs w:val="24"/>
              </w:rPr>
              <w:t>anaemia</w:t>
            </w:r>
            <w:proofErr w:type="spellEnd"/>
            <w:r w:rsidRPr="003F4F50">
              <w:rPr>
                <w:rFonts w:ascii="Times New Roman" w:eastAsia="Times New Roman" w:hAnsi="Times New Roman" w:cs="Times New Roman"/>
                <w:sz w:val="24"/>
                <w:szCs w:val="24"/>
              </w:rPr>
              <w:t xml:space="preserve">, other conditions requiring multiple blood transfusion (generally over 50 </w:t>
            </w:r>
            <w:proofErr w:type="spellStart"/>
            <w:r w:rsidRPr="003F4F50">
              <w:rPr>
                <w:rFonts w:ascii="Times New Roman" w:eastAsia="Times New Roman" w:hAnsi="Times New Roman" w:cs="Times New Roman"/>
                <w:sz w:val="24"/>
                <w:szCs w:val="24"/>
              </w:rPr>
              <w:t>litres</w:t>
            </w:r>
            <w:proofErr w:type="spellEnd"/>
            <w:r w:rsidRPr="003F4F50">
              <w:rPr>
                <w:rFonts w:ascii="Times New Roman" w:eastAsia="Times New Roman" w:hAnsi="Times New Roman" w:cs="Times New Roman"/>
                <w:sz w:val="24"/>
                <w:szCs w:val="24"/>
              </w:rPr>
              <w:t xml:space="preserve">), </w:t>
            </w:r>
            <w:proofErr w:type="spellStart"/>
            <w:r w:rsidRPr="003F4F50">
              <w:rPr>
                <w:rFonts w:ascii="Times New Roman" w:eastAsia="Times New Roman" w:hAnsi="Times New Roman" w:cs="Times New Roman"/>
                <w:sz w:val="24"/>
                <w:szCs w:val="24"/>
              </w:rPr>
              <w:t>porphyria</w:t>
            </w:r>
            <w:proofErr w:type="spellEnd"/>
            <w:r w:rsidRPr="003F4F50">
              <w:rPr>
                <w:rFonts w:ascii="Times New Roman" w:eastAsia="Times New Roman" w:hAnsi="Times New Roman" w:cs="Times New Roman"/>
                <w:sz w:val="24"/>
                <w:szCs w:val="24"/>
              </w:rPr>
              <w:t xml:space="preserve"> </w:t>
            </w:r>
            <w:proofErr w:type="spellStart"/>
            <w:r w:rsidRPr="003F4F50">
              <w:rPr>
                <w:rFonts w:ascii="Times New Roman" w:eastAsia="Times New Roman" w:hAnsi="Times New Roman" w:cs="Times New Roman"/>
                <w:sz w:val="24"/>
                <w:szCs w:val="24"/>
              </w:rPr>
              <w:t>cutanea</w:t>
            </w:r>
            <w:proofErr w:type="spellEnd"/>
            <w:r w:rsidRPr="003F4F50">
              <w:rPr>
                <w:rFonts w:ascii="Times New Roman" w:eastAsia="Times New Roman" w:hAnsi="Times New Roman" w:cs="Times New Roman"/>
                <w:sz w:val="24"/>
                <w:szCs w:val="24"/>
              </w:rPr>
              <w:t xml:space="preserve"> </w:t>
            </w:r>
            <w:proofErr w:type="spellStart"/>
            <w:r w:rsidRPr="003F4F50">
              <w:rPr>
                <w:rFonts w:ascii="Times New Roman" w:eastAsia="Times New Roman" w:hAnsi="Times New Roman" w:cs="Times New Roman"/>
                <w:sz w:val="24"/>
                <w:szCs w:val="24"/>
              </w:rPr>
              <w:t>tarda</w:t>
            </w:r>
            <w:proofErr w:type="spellEnd"/>
            <w:r w:rsidRPr="003F4F50">
              <w:rPr>
                <w:rFonts w:ascii="Times New Roman" w:eastAsia="Times New Roman" w:hAnsi="Times New Roman" w:cs="Times New Roman"/>
                <w:sz w:val="24"/>
                <w:szCs w:val="24"/>
              </w:rPr>
              <w:t xml:space="preserve">, dietary iron overload and occasionally alcoholic cirrhosis, are associated with widespread secondary </w:t>
            </w:r>
            <w:proofErr w:type="spellStart"/>
            <w:r w:rsidRPr="003F4F50">
              <w:rPr>
                <w:rFonts w:ascii="Times New Roman" w:eastAsia="Times New Roman" w:hAnsi="Times New Roman" w:cs="Times New Roman"/>
                <w:sz w:val="24"/>
                <w:szCs w:val="24"/>
              </w:rPr>
              <w:t>siderosis</w:t>
            </w:r>
            <w:proofErr w:type="spellEnd"/>
            <w:r w:rsidRPr="003F4F50">
              <w:rPr>
                <w:rFonts w:ascii="Times New Roman" w:eastAsia="Times New Roman" w:hAnsi="Times New Roman" w:cs="Times New Roman"/>
                <w:sz w:val="24"/>
                <w:szCs w:val="24"/>
              </w:rPr>
              <w:t xml:space="preserve">. The features are similar to primary </w:t>
            </w:r>
            <w:proofErr w:type="spellStart"/>
            <w:r w:rsidRPr="003F4F50">
              <w:rPr>
                <w:rFonts w:ascii="Times New Roman" w:eastAsia="Times New Roman" w:hAnsi="Times New Roman" w:cs="Times New Roman"/>
                <w:sz w:val="24"/>
                <w:szCs w:val="24"/>
              </w:rPr>
              <w:t>haemochromatosis</w:t>
            </w:r>
            <w:proofErr w:type="spellEnd"/>
            <w:r w:rsidRPr="003F4F50">
              <w:rPr>
                <w:rFonts w:ascii="Times New Roman" w:eastAsia="Times New Roman" w:hAnsi="Times New Roman" w:cs="Times New Roman"/>
                <w:sz w:val="24"/>
                <w:szCs w:val="24"/>
              </w:rPr>
              <w:t xml:space="preserve">, but the history and clinical findings point to the true diagnosis. Some patients are </w:t>
            </w:r>
            <w:proofErr w:type="spellStart"/>
            <w:r w:rsidRPr="003F4F50">
              <w:rPr>
                <w:rFonts w:ascii="Times New Roman" w:eastAsia="Times New Roman" w:hAnsi="Times New Roman" w:cs="Times New Roman"/>
                <w:sz w:val="24"/>
                <w:szCs w:val="24"/>
              </w:rPr>
              <w:t>heterozygotes</w:t>
            </w:r>
            <w:proofErr w:type="spellEnd"/>
            <w:r w:rsidRPr="003F4F50">
              <w:rPr>
                <w:rFonts w:ascii="Times New Roman" w:eastAsia="Times New Roman" w:hAnsi="Times New Roman" w:cs="Times New Roman"/>
                <w:sz w:val="24"/>
                <w:szCs w:val="24"/>
              </w:rPr>
              <w:t xml:space="preserve"> for the primary </w:t>
            </w:r>
            <w:proofErr w:type="spellStart"/>
            <w:r w:rsidRPr="003F4F50">
              <w:rPr>
                <w:rFonts w:ascii="Times New Roman" w:eastAsia="Times New Roman" w:hAnsi="Times New Roman" w:cs="Times New Roman"/>
                <w:sz w:val="24"/>
                <w:szCs w:val="24"/>
              </w:rPr>
              <w:t>haemochromatosis</w:t>
            </w:r>
            <w:proofErr w:type="spellEnd"/>
            <w:r w:rsidRPr="003F4F50">
              <w:rPr>
                <w:rFonts w:ascii="Times New Roman" w:eastAsia="Times New Roman" w:hAnsi="Times New Roman" w:cs="Times New Roman"/>
                <w:sz w:val="24"/>
                <w:szCs w:val="24"/>
              </w:rPr>
              <w:t xml:space="preserve"> gene and this may contribute to the development of iron overload. </w:t>
            </w:r>
          </w:p>
        </w:tc>
      </w:tr>
      <w:tr w:rsidR="003F4F50" w:rsidRPr="003F4F50">
        <w:trPr>
          <w:tblCellSpacing w:w="0" w:type="dxa"/>
        </w:trPr>
        <w:tc>
          <w:tcPr>
            <w:tcW w:w="5000" w:type="pct"/>
            <w:shd w:val="clear" w:color="auto" w:fill="FFFFFF"/>
            <w:vAlign w:val="center"/>
            <w:hideMark/>
          </w:tcPr>
          <w:p w:rsidR="003F4F50" w:rsidRPr="003F4F50" w:rsidRDefault="003F4F50" w:rsidP="003F4F50">
            <w:pPr>
              <w:spacing w:after="0" w:line="240" w:lineRule="auto"/>
              <w:rPr>
                <w:rFonts w:ascii="Times New Roman" w:eastAsia="Times New Roman" w:hAnsi="Times New Roman" w:cs="Times New Roman"/>
                <w:color w:val="FF0000"/>
                <w:sz w:val="24"/>
                <w:szCs w:val="24"/>
              </w:rPr>
            </w:pPr>
            <w:bookmarkStart w:id="28" w:name="HC023192"/>
            <w:bookmarkEnd w:id="28"/>
            <w:r w:rsidRPr="003F4F50">
              <w:rPr>
                <w:rFonts w:ascii="Times New Roman" w:eastAsia="Times New Roman" w:hAnsi="Times New Roman" w:cs="Times New Roman"/>
                <w:color w:val="FF0000"/>
                <w:sz w:val="24"/>
                <w:szCs w:val="24"/>
              </w:rPr>
              <w:t xml:space="preserve">WILSON'S DISEASE (HEPATOLENTICULAR DEGENERATION) </w:t>
            </w:r>
          </w:p>
        </w:tc>
      </w:tr>
    </w:tbl>
    <w:p w:rsidR="003F4F50" w:rsidRPr="003F4F50" w:rsidRDefault="003F4F50" w:rsidP="003F4F50">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8640"/>
      </w:tblGrid>
      <w:tr w:rsidR="003F4F50" w:rsidRPr="003F4F50">
        <w:trPr>
          <w:tblCellSpacing w:w="0" w:type="dxa"/>
        </w:trPr>
        <w:tc>
          <w:tcPr>
            <w:tcW w:w="5000" w:type="pct"/>
            <w:shd w:val="clear" w:color="auto" w:fill="FFFFFF"/>
            <w:vAlign w:val="center"/>
            <w:hideMark/>
          </w:tcPr>
          <w:p w:rsidR="003F4F50" w:rsidRPr="003F4F50" w:rsidRDefault="003F4F50" w:rsidP="003F4F50">
            <w:pPr>
              <w:spacing w:after="0" w:line="240" w:lineRule="auto"/>
              <w:rPr>
                <w:rFonts w:ascii="Times New Roman" w:eastAsia="Times New Roman" w:hAnsi="Times New Roman" w:cs="Times New Roman"/>
                <w:sz w:val="24"/>
                <w:szCs w:val="24"/>
              </w:rPr>
            </w:pPr>
            <w:bookmarkStart w:id="29" w:name="P023321"/>
            <w:bookmarkEnd w:id="29"/>
            <w:r w:rsidRPr="003F4F50">
              <w:rPr>
                <w:rFonts w:ascii="Times New Roman" w:eastAsia="Times New Roman" w:hAnsi="Times New Roman" w:cs="Times New Roman"/>
                <w:sz w:val="24"/>
                <w:szCs w:val="24"/>
              </w:rPr>
              <w:t xml:space="preserve">Wilson's disease is a rare but important </w:t>
            </w:r>
            <w:proofErr w:type="spellStart"/>
            <w:r w:rsidRPr="003F4F50">
              <w:rPr>
                <w:rFonts w:ascii="Times New Roman" w:eastAsia="Times New Roman" w:hAnsi="Times New Roman" w:cs="Times New Roman"/>
                <w:sz w:val="24"/>
                <w:szCs w:val="24"/>
              </w:rPr>
              <w:t>autosomal</w:t>
            </w:r>
            <w:proofErr w:type="spellEnd"/>
            <w:r w:rsidRPr="003F4F50">
              <w:rPr>
                <w:rFonts w:ascii="Times New Roman" w:eastAsia="Times New Roman" w:hAnsi="Times New Roman" w:cs="Times New Roman"/>
                <w:sz w:val="24"/>
                <w:szCs w:val="24"/>
              </w:rPr>
              <w:t xml:space="preserve"> recessive disorder of copper metabolism that is caused by a variety of mutations in the gene ATP7B on chromosome 13. Total body copper is increased, with excess copper deposited in, and causing damage to, several organs. </w:t>
            </w:r>
          </w:p>
        </w:tc>
      </w:tr>
    </w:tbl>
    <w:p w:rsidR="003F4F50" w:rsidRPr="003F4F50" w:rsidRDefault="003F4F50" w:rsidP="003F4F50">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8640"/>
      </w:tblGrid>
      <w:tr w:rsidR="003F4F50" w:rsidRPr="003F4F50">
        <w:trPr>
          <w:tblCellSpacing w:w="0" w:type="dxa"/>
        </w:trPr>
        <w:tc>
          <w:tcPr>
            <w:tcW w:w="5000" w:type="pct"/>
            <w:shd w:val="clear" w:color="auto" w:fill="FFFFFF"/>
            <w:vAlign w:val="center"/>
            <w:hideMark/>
          </w:tcPr>
          <w:p w:rsidR="003F4F50" w:rsidRPr="003F4F50" w:rsidRDefault="003F4F50" w:rsidP="003F4F50">
            <w:pPr>
              <w:spacing w:after="0" w:line="240" w:lineRule="auto"/>
              <w:rPr>
                <w:rFonts w:ascii="Times New Roman" w:eastAsia="Times New Roman" w:hAnsi="Times New Roman" w:cs="Times New Roman"/>
                <w:sz w:val="24"/>
                <w:szCs w:val="24"/>
              </w:rPr>
            </w:pPr>
            <w:bookmarkStart w:id="30" w:name="HC023194"/>
            <w:bookmarkEnd w:id="30"/>
            <w:proofErr w:type="spellStart"/>
            <w:r w:rsidRPr="003F4F50">
              <w:rPr>
                <w:rFonts w:ascii="Times New Roman" w:eastAsia="Times New Roman" w:hAnsi="Times New Roman" w:cs="Times New Roman"/>
                <w:sz w:val="24"/>
                <w:szCs w:val="24"/>
                <w:highlight w:val="yellow"/>
              </w:rPr>
              <w:t>Aetiology</w:t>
            </w:r>
            <w:proofErr w:type="spellEnd"/>
            <w:r w:rsidRPr="003F4F50">
              <w:rPr>
                <w:rFonts w:ascii="Times New Roman" w:eastAsia="Times New Roman" w:hAnsi="Times New Roman" w:cs="Times New Roman"/>
                <w:sz w:val="24"/>
                <w:szCs w:val="24"/>
                <w:highlight w:val="yellow"/>
              </w:rPr>
              <w:t xml:space="preserve"> and pathology</w:t>
            </w:r>
            <w:r w:rsidRPr="003F4F50">
              <w:rPr>
                <w:rFonts w:ascii="Times New Roman" w:eastAsia="Times New Roman" w:hAnsi="Times New Roman" w:cs="Times New Roman"/>
                <w:sz w:val="24"/>
                <w:szCs w:val="24"/>
              </w:rPr>
              <w:t xml:space="preserve"> </w:t>
            </w:r>
          </w:p>
        </w:tc>
      </w:tr>
    </w:tbl>
    <w:p w:rsidR="003F4F50" w:rsidRPr="003F4F50" w:rsidRDefault="003F4F50" w:rsidP="003F4F50">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8640"/>
      </w:tblGrid>
      <w:tr w:rsidR="003F4F50" w:rsidRPr="003F4F50">
        <w:trPr>
          <w:tblCellSpacing w:w="0" w:type="dxa"/>
        </w:trPr>
        <w:tc>
          <w:tcPr>
            <w:tcW w:w="5000" w:type="pct"/>
            <w:shd w:val="clear" w:color="auto" w:fill="FFFFFF"/>
            <w:vAlign w:val="center"/>
            <w:hideMark/>
          </w:tcPr>
          <w:p w:rsidR="003F4F50" w:rsidRPr="003F4F50" w:rsidRDefault="003F4F50" w:rsidP="003F4F50">
            <w:pPr>
              <w:spacing w:after="0" w:line="240" w:lineRule="auto"/>
              <w:rPr>
                <w:rFonts w:ascii="Times New Roman" w:eastAsia="Times New Roman" w:hAnsi="Times New Roman" w:cs="Times New Roman"/>
                <w:sz w:val="24"/>
                <w:szCs w:val="24"/>
              </w:rPr>
            </w:pPr>
            <w:bookmarkStart w:id="31" w:name="P023322"/>
            <w:bookmarkEnd w:id="31"/>
            <w:r w:rsidRPr="003F4F50">
              <w:rPr>
                <w:rFonts w:ascii="Times New Roman" w:eastAsia="Times New Roman" w:hAnsi="Times New Roman" w:cs="Times New Roman"/>
                <w:sz w:val="24"/>
                <w:szCs w:val="24"/>
              </w:rPr>
              <w:t xml:space="preserve">Normally dietary copper is absorbed from the stomach and proximal small intestine and is rapidly taken into the liver, where it is stored and incorporated into </w:t>
            </w:r>
            <w:proofErr w:type="spellStart"/>
            <w:r w:rsidRPr="003F4F50">
              <w:rPr>
                <w:rFonts w:ascii="Times New Roman" w:eastAsia="Times New Roman" w:hAnsi="Times New Roman" w:cs="Times New Roman"/>
                <w:sz w:val="24"/>
                <w:szCs w:val="24"/>
              </w:rPr>
              <w:t>caeruloplasmin</w:t>
            </w:r>
            <w:proofErr w:type="spellEnd"/>
            <w:r w:rsidRPr="003F4F50">
              <w:rPr>
                <w:rFonts w:ascii="Times New Roman" w:eastAsia="Times New Roman" w:hAnsi="Times New Roman" w:cs="Times New Roman"/>
                <w:sz w:val="24"/>
                <w:szCs w:val="24"/>
              </w:rPr>
              <w:t xml:space="preserve">, which is secreted into the blood. The accumulation of excessive copper in the body is ultimately prevented by its excretion, the most important route being via the bile. In Wilson's disease, there is almost always a failure of synthesis of </w:t>
            </w:r>
            <w:proofErr w:type="spellStart"/>
            <w:r w:rsidRPr="003F4F50">
              <w:rPr>
                <w:rFonts w:ascii="Times New Roman" w:eastAsia="Times New Roman" w:hAnsi="Times New Roman" w:cs="Times New Roman"/>
                <w:sz w:val="24"/>
                <w:szCs w:val="24"/>
              </w:rPr>
              <w:t>caeruloplasmin</w:t>
            </w:r>
            <w:proofErr w:type="spellEnd"/>
            <w:r w:rsidRPr="003F4F50">
              <w:rPr>
                <w:rFonts w:ascii="Times New Roman" w:eastAsia="Times New Roman" w:hAnsi="Times New Roman" w:cs="Times New Roman"/>
                <w:sz w:val="24"/>
                <w:szCs w:val="24"/>
              </w:rPr>
              <w:t xml:space="preserve">; however, some 5% of patients have a normal circulating </w:t>
            </w:r>
            <w:proofErr w:type="spellStart"/>
            <w:r w:rsidRPr="003F4F50">
              <w:rPr>
                <w:rFonts w:ascii="Times New Roman" w:eastAsia="Times New Roman" w:hAnsi="Times New Roman" w:cs="Times New Roman"/>
                <w:sz w:val="24"/>
                <w:szCs w:val="24"/>
              </w:rPr>
              <w:t>caeruloplasmin</w:t>
            </w:r>
            <w:proofErr w:type="spellEnd"/>
            <w:r w:rsidRPr="003F4F50">
              <w:rPr>
                <w:rFonts w:ascii="Times New Roman" w:eastAsia="Times New Roman" w:hAnsi="Times New Roman" w:cs="Times New Roman"/>
                <w:sz w:val="24"/>
                <w:szCs w:val="24"/>
              </w:rPr>
              <w:t xml:space="preserve"> concentration and this is not the primary pathogenic defect. The amount of copper in the body at birth is normal, but thereafter it increases steadily; the organs most affected are the liver, basal ganglia of the brain, eyes, kidneys and skeleton. </w:t>
            </w:r>
          </w:p>
        </w:tc>
      </w:tr>
    </w:tbl>
    <w:p w:rsidR="003F4F50" w:rsidRPr="003F4F50" w:rsidRDefault="003F4F50" w:rsidP="003F4F50">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8640"/>
      </w:tblGrid>
      <w:tr w:rsidR="003F4F50" w:rsidRPr="003F4F50">
        <w:trPr>
          <w:tblCellSpacing w:w="0" w:type="dxa"/>
        </w:trPr>
        <w:tc>
          <w:tcPr>
            <w:tcW w:w="5000" w:type="pct"/>
            <w:vAlign w:val="center"/>
            <w:hideMark/>
          </w:tcPr>
          <w:p w:rsidR="003F4F50" w:rsidRDefault="003F4F50" w:rsidP="003F4F50">
            <w:pPr>
              <w:spacing w:after="0" w:line="240" w:lineRule="auto"/>
              <w:jc w:val="right"/>
              <w:rPr>
                <w:rFonts w:ascii="Times New Roman" w:eastAsia="Times New Roman" w:hAnsi="Times New Roman" w:cs="Times New Roman" w:hint="cs"/>
                <w:sz w:val="24"/>
                <w:szCs w:val="24"/>
                <w:rtl/>
              </w:rPr>
            </w:pPr>
          </w:p>
          <w:p w:rsidR="003F4F50" w:rsidRPr="003F4F50" w:rsidRDefault="003F4F50" w:rsidP="003F4F50">
            <w:pPr>
              <w:spacing w:after="0" w:line="240" w:lineRule="auto"/>
              <w:jc w:val="right"/>
              <w:rPr>
                <w:rFonts w:ascii="Times New Roman" w:eastAsia="Times New Roman" w:hAnsi="Times New Roman" w:cs="Times New Roman"/>
                <w:sz w:val="24"/>
                <w:szCs w:val="24"/>
              </w:rPr>
            </w:pPr>
          </w:p>
        </w:tc>
      </w:tr>
      <w:tr w:rsidR="003F4F50" w:rsidRPr="003F4F50">
        <w:trPr>
          <w:tblCellSpacing w:w="0" w:type="dxa"/>
        </w:trPr>
        <w:tc>
          <w:tcPr>
            <w:tcW w:w="5000" w:type="pct"/>
            <w:shd w:val="clear" w:color="auto" w:fill="EEEEEE"/>
            <w:vAlign w:val="center"/>
            <w:hideMark/>
          </w:tcPr>
          <w:p w:rsidR="003F4F50" w:rsidRPr="003F4F50" w:rsidRDefault="003F4F50" w:rsidP="003F4F50">
            <w:pPr>
              <w:spacing w:after="0" w:line="240" w:lineRule="auto"/>
              <w:jc w:val="right"/>
              <w:rPr>
                <w:rFonts w:ascii="Times New Roman" w:eastAsia="Times New Roman" w:hAnsi="Times New Roman" w:cs="Times New Roman"/>
                <w:sz w:val="24"/>
                <w:szCs w:val="24"/>
              </w:rPr>
            </w:pPr>
            <w:bookmarkStart w:id="32" w:name="P0976"/>
            <w:bookmarkEnd w:id="32"/>
          </w:p>
        </w:tc>
      </w:tr>
      <w:tr w:rsidR="003F4F50" w:rsidRPr="003F4F50">
        <w:trPr>
          <w:tblCellSpacing w:w="0" w:type="dxa"/>
        </w:trPr>
        <w:tc>
          <w:tcPr>
            <w:tcW w:w="5000" w:type="pct"/>
            <w:vAlign w:val="center"/>
            <w:hideMark/>
          </w:tcPr>
          <w:p w:rsidR="003F4F50" w:rsidRPr="003F4F50" w:rsidRDefault="003F4F50" w:rsidP="003F4F50">
            <w:pPr>
              <w:spacing w:after="0" w:line="240" w:lineRule="auto"/>
              <w:jc w:val="right"/>
              <w:rPr>
                <w:rFonts w:ascii="Times New Roman" w:eastAsia="Times New Roman" w:hAnsi="Times New Roman" w:cs="Times New Roman"/>
                <w:sz w:val="24"/>
                <w:szCs w:val="24"/>
              </w:rPr>
            </w:pPr>
          </w:p>
        </w:tc>
      </w:tr>
    </w:tbl>
    <w:p w:rsidR="003F4F50" w:rsidRPr="003F4F50" w:rsidRDefault="003F4F50" w:rsidP="003F4F50">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8640"/>
      </w:tblGrid>
      <w:tr w:rsidR="003F4F50" w:rsidRPr="003F4F50">
        <w:trPr>
          <w:tblCellSpacing w:w="0" w:type="dxa"/>
        </w:trPr>
        <w:tc>
          <w:tcPr>
            <w:tcW w:w="5000" w:type="pct"/>
            <w:shd w:val="clear" w:color="auto" w:fill="FFFFFF"/>
            <w:vAlign w:val="center"/>
            <w:hideMark/>
          </w:tcPr>
          <w:p w:rsidR="003F4F50" w:rsidRPr="003F4F50" w:rsidRDefault="003F4F50" w:rsidP="003F4F50">
            <w:pPr>
              <w:spacing w:after="0" w:line="240" w:lineRule="auto"/>
              <w:rPr>
                <w:rFonts w:ascii="Times New Roman" w:eastAsia="Times New Roman" w:hAnsi="Times New Roman" w:cs="Times New Roman"/>
                <w:sz w:val="24"/>
                <w:szCs w:val="24"/>
              </w:rPr>
            </w:pPr>
            <w:bookmarkStart w:id="33" w:name="P023323"/>
            <w:bookmarkEnd w:id="33"/>
            <w:r w:rsidRPr="003F4F50">
              <w:rPr>
                <w:rFonts w:ascii="Times New Roman" w:eastAsia="Times New Roman" w:hAnsi="Times New Roman" w:cs="Times New Roman"/>
                <w:sz w:val="24"/>
                <w:szCs w:val="24"/>
              </w:rPr>
              <w:t xml:space="preserve">The gene responsible for Wilson's disease (ATP7B, chromosome 13) encodes a member of the copper-transporting P-type adenosine </w:t>
            </w:r>
            <w:proofErr w:type="spellStart"/>
            <w:r w:rsidRPr="003F4F50">
              <w:rPr>
                <w:rFonts w:ascii="Times New Roman" w:eastAsia="Times New Roman" w:hAnsi="Times New Roman" w:cs="Times New Roman"/>
                <w:sz w:val="24"/>
                <w:szCs w:val="24"/>
              </w:rPr>
              <w:t>triphosphatase</w:t>
            </w:r>
            <w:proofErr w:type="spellEnd"/>
            <w:r w:rsidRPr="003F4F50">
              <w:rPr>
                <w:rFonts w:ascii="Times New Roman" w:eastAsia="Times New Roman" w:hAnsi="Times New Roman" w:cs="Times New Roman"/>
                <w:sz w:val="24"/>
                <w:szCs w:val="24"/>
              </w:rPr>
              <w:t xml:space="preserve"> family, which functions to export copper from the various cell types. At least 200 different mutations have been described. Although most of the mutations are rare, their relative frequency varies in different populations. The </w:t>
            </w:r>
            <w:proofErr w:type="spellStart"/>
            <w:r w:rsidRPr="003F4F50">
              <w:rPr>
                <w:rFonts w:ascii="Times New Roman" w:eastAsia="Times New Roman" w:hAnsi="Times New Roman" w:cs="Times New Roman"/>
                <w:sz w:val="24"/>
                <w:szCs w:val="24"/>
              </w:rPr>
              <w:t>histidine</w:t>
            </w:r>
            <w:proofErr w:type="spellEnd"/>
            <w:r w:rsidRPr="003F4F50">
              <w:rPr>
                <w:rFonts w:ascii="Times New Roman" w:eastAsia="Times New Roman" w:hAnsi="Times New Roman" w:cs="Times New Roman"/>
                <w:sz w:val="24"/>
                <w:szCs w:val="24"/>
              </w:rPr>
              <w:t xml:space="preserve"> to </w:t>
            </w:r>
            <w:proofErr w:type="spellStart"/>
            <w:r w:rsidRPr="003F4F50">
              <w:rPr>
                <w:rFonts w:ascii="Times New Roman" w:eastAsia="Times New Roman" w:hAnsi="Times New Roman" w:cs="Times New Roman"/>
                <w:sz w:val="24"/>
                <w:szCs w:val="24"/>
              </w:rPr>
              <w:t>glucine</w:t>
            </w:r>
            <w:proofErr w:type="spellEnd"/>
            <w:r w:rsidRPr="003F4F50">
              <w:rPr>
                <w:rFonts w:ascii="Times New Roman" w:eastAsia="Times New Roman" w:hAnsi="Times New Roman" w:cs="Times New Roman"/>
                <w:sz w:val="24"/>
                <w:szCs w:val="24"/>
              </w:rPr>
              <w:t xml:space="preserve"> single-base mutation at position 1069 is most common in Polish and Austrian patients, but rare in India, other Asian countries and Sardinia. In contrast, approximately 60% of Sardinian patients have a 15 nucleotide deletion in the 5' </w:t>
            </w:r>
            <w:proofErr w:type="spellStart"/>
            <w:r w:rsidRPr="003F4F50">
              <w:rPr>
                <w:rFonts w:ascii="Times New Roman" w:eastAsia="Times New Roman" w:hAnsi="Times New Roman" w:cs="Times New Roman"/>
                <w:sz w:val="24"/>
                <w:szCs w:val="24"/>
              </w:rPr>
              <w:t>untranslated</w:t>
            </w:r>
            <w:proofErr w:type="spellEnd"/>
            <w:r w:rsidRPr="003F4F50">
              <w:rPr>
                <w:rFonts w:ascii="Times New Roman" w:eastAsia="Times New Roman" w:hAnsi="Times New Roman" w:cs="Times New Roman"/>
                <w:sz w:val="24"/>
                <w:szCs w:val="24"/>
              </w:rPr>
              <w:t xml:space="preserve"> region of the Wilson's gene. Most cases are compound </w:t>
            </w:r>
            <w:proofErr w:type="spellStart"/>
            <w:r w:rsidRPr="003F4F50">
              <w:rPr>
                <w:rFonts w:ascii="Times New Roman" w:eastAsia="Times New Roman" w:hAnsi="Times New Roman" w:cs="Times New Roman"/>
                <w:sz w:val="24"/>
                <w:szCs w:val="24"/>
              </w:rPr>
              <w:t>heterozygotes</w:t>
            </w:r>
            <w:proofErr w:type="spellEnd"/>
            <w:r w:rsidRPr="003F4F50">
              <w:rPr>
                <w:rFonts w:ascii="Times New Roman" w:eastAsia="Times New Roman" w:hAnsi="Times New Roman" w:cs="Times New Roman"/>
                <w:sz w:val="24"/>
                <w:szCs w:val="24"/>
              </w:rPr>
              <w:t xml:space="preserve"> with two different mutations in the Wilson's gene. Attempts to correlate the genotype with the mode of presentation and clinical course have not shown any consistent patterns. </w:t>
            </w:r>
          </w:p>
        </w:tc>
      </w:tr>
    </w:tbl>
    <w:p w:rsidR="003F4F50" w:rsidRPr="003F4F50" w:rsidRDefault="003F4F50" w:rsidP="003F4F50">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8640"/>
      </w:tblGrid>
      <w:tr w:rsidR="003F4F50" w:rsidRPr="003F4F50">
        <w:trPr>
          <w:tblCellSpacing w:w="0" w:type="dxa"/>
        </w:trPr>
        <w:tc>
          <w:tcPr>
            <w:tcW w:w="5000" w:type="pct"/>
            <w:shd w:val="clear" w:color="auto" w:fill="FFFFFF"/>
            <w:vAlign w:val="center"/>
            <w:hideMark/>
          </w:tcPr>
          <w:p w:rsidR="003F4F50" w:rsidRPr="003F4F50" w:rsidRDefault="003F4F50" w:rsidP="003F4F50">
            <w:pPr>
              <w:spacing w:after="0" w:line="240" w:lineRule="auto"/>
              <w:rPr>
                <w:rFonts w:ascii="Times New Roman" w:eastAsia="Times New Roman" w:hAnsi="Times New Roman" w:cs="Times New Roman"/>
                <w:sz w:val="24"/>
                <w:szCs w:val="24"/>
              </w:rPr>
            </w:pPr>
            <w:bookmarkStart w:id="34" w:name="HC023195"/>
            <w:bookmarkEnd w:id="34"/>
            <w:r w:rsidRPr="003F4F50">
              <w:rPr>
                <w:rFonts w:ascii="Times New Roman" w:eastAsia="Times New Roman" w:hAnsi="Times New Roman" w:cs="Times New Roman"/>
                <w:sz w:val="24"/>
                <w:szCs w:val="24"/>
                <w:highlight w:val="yellow"/>
              </w:rPr>
              <w:t>Clinical features</w:t>
            </w:r>
            <w:r w:rsidRPr="003F4F50">
              <w:rPr>
                <w:rFonts w:ascii="Times New Roman" w:eastAsia="Times New Roman" w:hAnsi="Times New Roman" w:cs="Times New Roman"/>
                <w:sz w:val="24"/>
                <w:szCs w:val="24"/>
              </w:rPr>
              <w:t xml:space="preserve"> </w:t>
            </w:r>
          </w:p>
        </w:tc>
      </w:tr>
    </w:tbl>
    <w:p w:rsidR="003F4F50" w:rsidRPr="003F4F50" w:rsidRDefault="003F4F50" w:rsidP="003F4F50">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8640"/>
      </w:tblGrid>
      <w:tr w:rsidR="003F4F50" w:rsidRPr="003F4F50">
        <w:trPr>
          <w:tblCellSpacing w:w="0" w:type="dxa"/>
        </w:trPr>
        <w:tc>
          <w:tcPr>
            <w:tcW w:w="5000" w:type="pct"/>
            <w:shd w:val="clear" w:color="auto" w:fill="FFFFFF"/>
            <w:vAlign w:val="center"/>
            <w:hideMark/>
          </w:tcPr>
          <w:p w:rsidR="003F4F50" w:rsidRPr="003F4F50" w:rsidRDefault="003F4F50" w:rsidP="003F4F50">
            <w:pPr>
              <w:spacing w:after="0" w:line="240" w:lineRule="auto"/>
              <w:rPr>
                <w:rFonts w:ascii="Times New Roman" w:eastAsia="Times New Roman" w:hAnsi="Times New Roman" w:cs="Times New Roman"/>
                <w:sz w:val="24"/>
                <w:szCs w:val="24"/>
              </w:rPr>
            </w:pPr>
            <w:bookmarkStart w:id="35" w:name="P023324"/>
            <w:bookmarkEnd w:id="35"/>
            <w:r w:rsidRPr="003F4F50">
              <w:rPr>
                <w:rFonts w:ascii="Times New Roman" w:eastAsia="Times New Roman" w:hAnsi="Times New Roman" w:cs="Times New Roman"/>
                <w:sz w:val="24"/>
                <w:szCs w:val="24"/>
              </w:rPr>
              <w:t xml:space="preserve">Symptoms usually arise between the ages of 5 and 45 years. Hepatic disease occurs predominantly in childhood and early adolescence, although it can present in adults in their fifties. Neurological damage causes basal ganglion syndromes and dementia which tends to present in later adolescence. These features can occur alone or simultaneously. Other manifestations include renal tubular damage and osteoporosis, but these are virtually never presenting features. </w:t>
            </w:r>
          </w:p>
        </w:tc>
      </w:tr>
    </w:tbl>
    <w:p w:rsidR="003F4F50" w:rsidRPr="003F4F50" w:rsidRDefault="003F4F50" w:rsidP="003F4F50">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8640"/>
      </w:tblGrid>
      <w:tr w:rsidR="003F4F50" w:rsidRPr="003F4F50">
        <w:trPr>
          <w:tblCellSpacing w:w="0" w:type="dxa"/>
        </w:trPr>
        <w:tc>
          <w:tcPr>
            <w:tcW w:w="5000" w:type="pct"/>
            <w:shd w:val="clear" w:color="auto" w:fill="FFFFFF"/>
            <w:vAlign w:val="center"/>
            <w:hideMark/>
          </w:tcPr>
          <w:p w:rsidR="003F4F50" w:rsidRPr="003F4F50" w:rsidRDefault="003F4F50" w:rsidP="003F4F50">
            <w:pPr>
              <w:spacing w:after="0" w:line="240" w:lineRule="auto"/>
              <w:rPr>
                <w:rFonts w:ascii="Times New Roman" w:eastAsia="Times New Roman" w:hAnsi="Times New Roman" w:cs="Times New Roman"/>
                <w:sz w:val="24"/>
                <w:szCs w:val="24"/>
              </w:rPr>
            </w:pPr>
            <w:bookmarkStart w:id="36" w:name="HC023196"/>
            <w:bookmarkEnd w:id="36"/>
            <w:r w:rsidRPr="003F4F50">
              <w:rPr>
                <w:rFonts w:ascii="Times New Roman" w:eastAsia="Times New Roman" w:hAnsi="Times New Roman" w:cs="Times New Roman"/>
                <w:sz w:val="24"/>
                <w:szCs w:val="24"/>
                <w:highlight w:val="yellow"/>
              </w:rPr>
              <w:t>Liver disease</w:t>
            </w:r>
            <w:r w:rsidRPr="003F4F50">
              <w:rPr>
                <w:rFonts w:ascii="Times New Roman" w:eastAsia="Times New Roman" w:hAnsi="Times New Roman" w:cs="Times New Roman"/>
                <w:sz w:val="24"/>
                <w:szCs w:val="24"/>
              </w:rPr>
              <w:t xml:space="preserve"> </w:t>
            </w:r>
          </w:p>
        </w:tc>
      </w:tr>
    </w:tbl>
    <w:p w:rsidR="003F4F50" w:rsidRPr="003F4F50" w:rsidRDefault="003F4F50" w:rsidP="003F4F50">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8640"/>
      </w:tblGrid>
      <w:tr w:rsidR="003F4F50" w:rsidRPr="003F4F50">
        <w:trPr>
          <w:tblCellSpacing w:w="0" w:type="dxa"/>
        </w:trPr>
        <w:tc>
          <w:tcPr>
            <w:tcW w:w="5000" w:type="pct"/>
            <w:shd w:val="clear" w:color="auto" w:fill="FFFFFF"/>
            <w:vAlign w:val="center"/>
            <w:hideMark/>
          </w:tcPr>
          <w:p w:rsidR="003F4F50" w:rsidRPr="003F4F50" w:rsidRDefault="003F4F50" w:rsidP="003F4F50">
            <w:pPr>
              <w:spacing w:after="0" w:line="240" w:lineRule="auto"/>
              <w:rPr>
                <w:rFonts w:ascii="Times New Roman" w:eastAsia="Times New Roman" w:hAnsi="Times New Roman" w:cs="Times New Roman"/>
                <w:sz w:val="24"/>
                <w:szCs w:val="24"/>
              </w:rPr>
            </w:pPr>
            <w:bookmarkStart w:id="37" w:name="P023325"/>
            <w:bookmarkEnd w:id="37"/>
            <w:r w:rsidRPr="003F4F50">
              <w:rPr>
                <w:rFonts w:ascii="Times New Roman" w:eastAsia="Times New Roman" w:hAnsi="Times New Roman" w:cs="Times New Roman"/>
                <w:sz w:val="24"/>
                <w:szCs w:val="24"/>
              </w:rPr>
              <w:t xml:space="preserve">This can manifest in many ways which are not specific. Episodes of acute hepatitis, sometimes recurrent, can occur, especially in children, and may progress to acute </w:t>
            </w:r>
            <w:proofErr w:type="spellStart"/>
            <w:r w:rsidRPr="003F4F50">
              <w:rPr>
                <w:rFonts w:ascii="Times New Roman" w:eastAsia="Times New Roman" w:hAnsi="Times New Roman" w:cs="Times New Roman"/>
                <w:sz w:val="24"/>
                <w:szCs w:val="24"/>
              </w:rPr>
              <w:t>fulminant</w:t>
            </w:r>
            <w:proofErr w:type="spellEnd"/>
            <w:r w:rsidRPr="003F4F50">
              <w:rPr>
                <w:rFonts w:ascii="Times New Roman" w:eastAsia="Times New Roman" w:hAnsi="Times New Roman" w:cs="Times New Roman"/>
                <w:sz w:val="24"/>
                <w:szCs w:val="24"/>
              </w:rPr>
              <w:t xml:space="preserve"> liver failure. The latter is </w:t>
            </w:r>
            <w:proofErr w:type="spellStart"/>
            <w:r w:rsidRPr="003F4F50">
              <w:rPr>
                <w:rFonts w:ascii="Times New Roman" w:eastAsia="Times New Roman" w:hAnsi="Times New Roman" w:cs="Times New Roman"/>
                <w:sz w:val="24"/>
                <w:szCs w:val="24"/>
              </w:rPr>
              <w:t>characterised</w:t>
            </w:r>
            <w:proofErr w:type="spellEnd"/>
            <w:r w:rsidRPr="003F4F50">
              <w:rPr>
                <w:rFonts w:ascii="Times New Roman" w:eastAsia="Times New Roman" w:hAnsi="Times New Roman" w:cs="Times New Roman"/>
                <w:sz w:val="24"/>
                <w:szCs w:val="24"/>
              </w:rPr>
              <w:t xml:space="preserve"> by the liberation of free copper into the blood stream, causing massive </w:t>
            </w:r>
            <w:proofErr w:type="spellStart"/>
            <w:r w:rsidRPr="003F4F50">
              <w:rPr>
                <w:rFonts w:ascii="Times New Roman" w:eastAsia="Times New Roman" w:hAnsi="Times New Roman" w:cs="Times New Roman"/>
                <w:sz w:val="24"/>
                <w:szCs w:val="24"/>
              </w:rPr>
              <w:t>haemolysis</w:t>
            </w:r>
            <w:proofErr w:type="spellEnd"/>
            <w:r w:rsidRPr="003F4F50">
              <w:rPr>
                <w:rFonts w:ascii="Times New Roman" w:eastAsia="Times New Roman" w:hAnsi="Times New Roman" w:cs="Times New Roman"/>
                <w:sz w:val="24"/>
                <w:szCs w:val="24"/>
              </w:rPr>
              <w:t xml:space="preserve"> and renal </w:t>
            </w:r>
            <w:proofErr w:type="spellStart"/>
            <w:r w:rsidRPr="003F4F50">
              <w:rPr>
                <w:rFonts w:ascii="Times New Roman" w:eastAsia="Times New Roman" w:hAnsi="Times New Roman" w:cs="Times New Roman"/>
                <w:sz w:val="24"/>
                <w:szCs w:val="24"/>
              </w:rPr>
              <w:t>tubulopathy</w:t>
            </w:r>
            <w:proofErr w:type="spellEnd"/>
            <w:r w:rsidRPr="003F4F50">
              <w:rPr>
                <w:rFonts w:ascii="Times New Roman" w:eastAsia="Times New Roman" w:hAnsi="Times New Roman" w:cs="Times New Roman"/>
                <w:sz w:val="24"/>
                <w:szCs w:val="24"/>
              </w:rPr>
              <w:t xml:space="preserve">. Chronic hepatitis can also develop insidiously and eventually present with established cirrhosis; liver failure and portal hypertension may supervene. Recurrent acute hepatitis of unknown cause, especially when accompanied by </w:t>
            </w:r>
            <w:proofErr w:type="spellStart"/>
            <w:r w:rsidRPr="003F4F50">
              <w:rPr>
                <w:rFonts w:ascii="Times New Roman" w:eastAsia="Times New Roman" w:hAnsi="Times New Roman" w:cs="Times New Roman"/>
                <w:sz w:val="24"/>
                <w:szCs w:val="24"/>
              </w:rPr>
              <w:t>haemolysis</w:t>
            </w:r>
            <w:proofErr w:type="spellEnd"/>
            <w:r w:rsidRPr="003F4F50">
              <w:rPr>
                <w:rFonts w:ascii="Times New Roman" w:eastAsia="Times New Roman" w:hAnsi="Times New Roman" w:cs="Times New Roman"/>
                <w:sz w:val="24"/>
                <w:szCs w:val="24"/>
              </w:rPr>
              <w:t xml:space="preserve">, or chronic liver disease of unknown cause in a patient under 40 years old suggests Wilson's disease. </w:t>
            </w:r>
          </w:p>
        </w:tc>
      </w:tr>
    </w:tbl>
    <w:p w:rsidR="003F4F50" w:rsidRPr="003F4F50" w:rsidRDefault="003F4F50" w:rsidP="003F4F50">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8640"/>
      </w:tblGrid>
      <w:tr w:rsidR="003F4F50" w:rsidRPr="003F4F50">
        <w:trPr>
          <w:tblCellSpacing w:w="0" w:type="dxa"/>
        </w:trPr>
        <w:tc>
          <w:tcPr>
            <w:tcW w:w="5000" w:type="pct"/>
            <w:shd w:val="clear" w:color="auto" w:fill="FFFFFF"/>
            <w:vAlign w:val="center"/>
            <w:hideMark/>
          </w:tcPr>
          <w:p w:rsidR="003F4F50" w:rsidRPr="003F4F50" w:rsidRDefault="003F4F50" w:rsidP="003F4F50">
            <w:pPr>
              <w:spacing w:after="0" w:line="240" w:lineRule="auto"/>
              <w:rPr>
                <w:rFonts w:ascii="Times New Roman" w:eastAsia="Times New Roman" w:hAnsi="Times New Roman" w:cs="Times New Roman"/>
                <w:sz w:val="24"/>
                <w:szCs w:val="24"/>
              </w:rPr>
            </w:pPr>
            <w:bookmarkStart w:id="38" w:name="HC023197"/>
            <w:bookmarkEnd w:id="38"/>
            <w:r w:rsidRPr="003F4F50">
              <w:rPr>
                <w:rFonts w:ascii="Times New Roman" w:eastAsia="Times New Roman" w:hAnsi="Times New Roman" w:cs="Times New Roman"/>
                <w:sz w:val="24"/>
                <w:szCs w:val="24"/>
                <w:highlight w:val="yellow"/>
              </w:rPr>
              <w:t>Neurological disease</w:t>
            </w:r>
            <w:r w:rsidRPr="003F4F50">
              <w:rPr>
                <w:rFonts w:ascii="Times New Roman" w:eastAsia="Times New Roman" w:hAnsi="Times New Roman" w:cs="Times New Roman"/>
                <w:sz w:val="24"/>
                <w:szCs w:val="24"/>
              </w:rPr>
              <w:t xml:space="preserve"> </w:t>
            </w:r>
          </w:p>
        </w:tc>
      </w:tr>
    </w:tbl>
    <w:p w:rsidR="003F4F50" w:rsidRPr="003F4F50" w:rsidRDefault="003F4F50" w:rsidP="003F4F50">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8640"/>
      </w:tblGrid>
      <w:tr w:rsidR="003F4F50" w:rsidRPr="003F4F50">
        <w:trPr>
          <w:tblCellSpacing w:w="0" w:type="dxa"/>
        </w:trPr>
        <w:tc>
          <w:tcPr>
            <w:tcW w:w="5000" w:type="pct"/>
            <w:shd w:val="clear" w:color="auto" w:fill="FFFFFF"/>
            <w:vAlign w:val="center"/>
            <w:hideMark/>
          </w:tcPr>
          <w:p w:rsidR="003F4F50" w:rsidRPr="003F4F50" w:rsidRDefault="003F4F50" w:rsidP="003F4F50">
            <w:pPr>
              <w:spacing w:after="0" w:line="240" w:lineRule="auto"/>
              <w:rPr>
                <w:rFonts w:ascii="Times New Roman" w:eastAsia="Times New Roman" w:hAnsi="Times New Roman" w:cs="Times New Roman"/>
                <w:sz w:val="24"/>
                <w:szCs w:val="24"/>
              </w:rPr>
            </w:pPr>
            <w:bookmarkStart w:id="39" w:name="P023326"/>
            <w:bookmarkEnd w:id="39"/>
            <w:r w:rsidRPr="003F4F50">
              <w:rPr>
                <w:rFonts w:ascii="Times New Roman" w:eastAsia="Times New Roman" w:hAnsi="Times New Roman" w:cs="Times New Roman"/>
                <w:sz w:val="24"/>
                <w:szCs w:val="24"/>
              </w:rPr>
              <w:t xml:space="preserve">Clinical features include a variety of </w:t>
            </w:r>
            <w:proofErr w:type="spellStart"/>
            <w:r w:rsidRPr="003F4F50">
              <w:rPr>
                <w:rFonts w:ascii="Times New Roman" w:eastAsia="Times New Roman" w:hAnsi="Times New Roman" w:cs="Times New Roman"/>
                <w:sz w:val="24"/>
                <w:szCs w:val="24"/>
              </w:rPr>
              <w:t>extrapyramidal</w:t>
            </w:r>
            <w:proofErr w:type="spellEnd"/>
            <w:r w:rsidRPr="003F4F50">
              <w:rPr>
                <w:rFonts w:ascii="Times New Roman" w:eastAsia="Times New Roman" w:hAnsi="Times New Roman" w:cs="Times New Roman"/>
                <w:sz w:val="24"/>
                <w:szCs w:val="24"/>
              </w:rPr>
              <w:t xml:space="preserve"> features, particularly tremor, </w:t>
            </w:r>
            <w:proofErr w:type="spellStart"/>
            <w:r w:rsidRPr="003F4F50">
              <w:rPr>
                <w:rFonts w:ascii="Times New Roman" w:eastAsia="Times New Roman" w:hAnsi="Times New Roman" w:cs="Times New Roman"/>
                <w:sz w:val="24"/>
                <w:szCs w:val="24"/>
              </w:rPr>
              <w:t>choreoathetosis</w:t>
            </w:r>
            <w:proofErr w:type="spellEnd"/>
            <w:r w:rsidRPr="003F4F50">
              <w:rPr>
                <w:rFonts w:ascii="Times New Roman" w:eastAsia="Times New Roman" w:hAnsi="Times New Roman" w:cs="Times New Roman"/>
                <w:sz w:val="24"/>
                <w:szCs w:val="24"/>
              </w:rPr>
              <w:t xml:space="preserve">, </w:t>
            </w:r>
            <w:proofErr w:type="spellStart"/>
            <w:r w:rsidRPr="003F4F50">
              <w:rPr>
                <w:rFonts w:ascii="Times New Roman" w:eastAsia="Times New Roman" w:hAnsi="Times New Roman" w:cs="Times New Roman"/>
                <w:sz w:val="24"/>
                <w:szCs w:val="24"/>
              </w:rPr>
              <w:t>dystonia</w:t>
            </w:r>
            <w:proofErr w:type="spellEnd"/>
            <w:r w:rsidRPr="003F4F50">
              <w:rPr>
                <w:rFonts w:ascii="Times New Roman" w:eastAsia="Times New Roman" w:hAnsi="Times New Roman" w:cs="Times New Roman"/>
                <w:sz w:val="24"/>
                <w:szCs w:val="24"/>
              </w:rPr>
              <w:t>, parkinsonism and dementia (</w:t>
            </w:r>
            <w:hyperlink r:id="rId8" w:anchor="P1216" w:tooltip="Go here now" w:history="1">
              <w:r w:rsidRPr="003F4F50">
                <w:rPr>
                  <w:rFonts w:ascii="Times New Roman" w:eastAsia="Times New Roman" w:hAnsi="Times New Roman" w:cs="Times New Roman"/>
                  <w:color w:val="0000FF"/>
                  <w:sz w:val="24"/>
                  <w:szCs w:val="24"/>
                  <w:u w:val="single"/>
                </w:rPr>
                <w:t>p. 1216</w:t>
              </w:r>
            </w:hyperlink>
            <w:r w:rsidRPr="003F4F50">
              <w:rPr>
                <w:rFonts w:ascii="Times New Roman" w:eastAsia="Times New Roman" w:hAnsi="Times New Roman" w:cs="Times New Roman"/>
                <w:sz w:val="24"/>
                <w:szCs w:val="24"/>
              </w:rPr>
              <w:t xml:space="preserve">). Unusual clumsiness for age may be an early symptom. </w:t>
            </w:r>
          </w:p>
        </w:tc>
      </w:tr>
    </w:tbl>
    <w:p w:rsidR="003F4F50" w:rsidRPr="003F4F50" w:rsidRDefault="003F4F50" w:rsidP="003F4F50">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8640"/>
      </w:tblGrid>
      <w:tr w:rsidR="003F4F50" w:rsidRPr="003F4F50">
        <w:trPr>
          <w:tblCellSpacing w:w="0" w:type="dxa"/>
        </w:trPr>
        <w:tc>
          <w:tcPr>
            <w:tcW w:w="5000" w:type="pct"/>
            <w:shd w:val="clear" w:color="auto" w:fill="FFFFFF"/>
            <w:vAlign w:val="center"/>
            <w:hideMark/>
          </w:tcPr>
          <w:p w:rsidR="003F4F50" w:rsidRPr="003F4F50" w:rsidRDefault="003F4F50" w:rsidP="003F4F50">
            <w:pPr>
              <w:spacing w:after="0" w:line="240" w:lineRule="auto"/>
              <w:rPr>
                <w:rFonts w:ascii="Times New Roman" w:eastAsia="Times New Roman" w:hAnsi="Times New Roman" w:cs="Times New Roman"/>
                <w:sz w:val="24"/>
                <w:szCs w:val="24"/>
              </w:rPr>
            </w:pPr>
            <w:bookmarkStart w:id="40" w:name="HC023198"/>
            <w:bookmarkEnd w:id="40"/>
            <w:proofErr w:type="spellStart"/>
            <w:r w:rsidRPr="003F4F50">
              <w:rPr>
                <w:rFonts w:ascii="Times New Roman" w:eastAsia="Times New Roman" w:hAnsi="Times New Roman" w:cs="Times New Roman"/>
                <w:sz w:val="24"/>
                <w:szCs w:val="24"/>
              </w:rPr>
              <w:t>Kayser</w:t>
            </w:r>
            <w:proofErr w:type="spellEnd"/>
            <w:r w:rsidRPr="003F4F50">
              <w:rPr>
                <w:rFonts w:ascii="Times New Roman" w:eastAsia="Times New Roman" w:hAnsi="Times New Roman" w:cs="Times New Roman"/>
                <w:sz w:val="24"/>
                <w:szCs w:val="24"/>
              </w:rPr>
              <w:t xml:space="preserve">-Fleischer rings </w:t>
            </w:r>
          </w:p>
        </w:tc>
      </w:tr>
    </w:tbl>
    <w:p w:rsidR="003F4F50" w:rsidRPr="003F4F50" w:rsidRDefault="003F4F50" w:rsidP="003F4F50">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8640"/>
      </w:tblGrid>
      <w:tr w:rsidR="003F4F50" w:rsidRPr="003F4F50">
        <w:trPr>
          <w:tblCellSpacing w:w="0" w:type="dxa"/>
        </w:trPr>
        <w:tc>
          <w:tcPr>
            <w:tcW w:w="5000" w:type="pct"/>
            <w:shd w:val="clear" w:color="auto" w:fill="FFFFFF"/>
            <w:vAlign w:val="center"/>
            <w:hideMark/>
          </w:tcPr>
          <w:p w:rsidR="003F4F50" w:rsidRPr="003F4F50" w:rsidRDefault="003F4F50" w:rsidP="003F4F50">
            <w:pPr>
              <w:spacing w:after="0" w:line="240" w:lineRule="auto"/>
              <w:rPr>
                <w:rFonts w:ascii="Times New Roman" w:eastAsia="Times New Roman" w:hAnsi="Times New Roman" w:cs="Times New Roman"/>
                <w:sz w:val="24"/>
                <w:szCs w:val="24"/>
              </w:rPr>
            </w:pPr>
            <w:bookmarkStart w:id="41" w:name="P023327"/>
            <w:bookmarkEnd w:id="41"/>
            <w:r w:rsidRPr="003F4F50">
              <w:rPr>
                <w:rFonts w:ascii="Times New Roman" w:eastAsia="Times New Roman" w:hAnsi="Times New Roman" w:cs="Times New Roman"/>
                <w:sz w:val="24"/>
                <w:szCs w:val="24"/>
              </w:rPr>
              <w:t xml:space="preserve">These are the most important single clinical clue to the diagnosis and can be seen in 60% of adults with Wilson's disease (less often in children but almost always in neurological Wilson's disease), albeit sometimes only by slit-lamp examination. </w:t>
            </w:r>
            <w:proofErr w:type="spellStart"/>
            <w:r w:rsidRPr="003F4F50">
              <w:rPr>
                <w:rFonts w:ascii="Times New Roman" w:eastAsia="Times New Roman" w:hAnsi="Times New Roman" w:cs="Times New Roman"/>
                <w:sz w:val="24"/>
                <w:szCs w:val="24"/>
              </w:rPr>
              <w:t>Kayser</w:t>
            </w:r>
            <w:proofErr w:type="spellEnd"/>
            <w:r w:rsidRPr="003F4F50">
              <w:rPr>
                <w:rFonts w:ascii="Times New Roman" w:eastAsia="Times New Roman" w:hAnsi="Times New Roman" w:cs="Times New Roman"/>
                <w:sz w:val="24"/>
                <w:szCs w:val="24"/>
              </w:rPr>
              <w:t xml:space="preserve">-Fleischer rings are </w:t>
            </w:r>
            <w:proofErr w:type="spellStart"/>
            <w:r w:rsidRPr="003F4F50">
              <w:rPr>
                <w:rFonts w:ascii="Times New Roman" w:eastAsia="Times New Roman" w:hAnsi="Times New Roman" w:cs="Times New Roman"/>
                <w:sz w:val="24"/>
                <w:szCs w:val="24"/>
              </w:rPr>
              <w:t>characterised</w:t>
            </w:r>
            <w:proofErr w:type="spellEnd"/>
            <w:r w:rsidRPr="003F4F50">
              <w:rPr>
                <w:rFonts w:ascii="Times New Roman" w:eastAsia="Times New Roman" w:hAnsi="Times New Roman" w:cs="Times New Roman"/>
                <w:sz w:val="24"/>
                <w:szCs w:val="24"/>
              </w:rPr>
              <w:t xml:space="preserve"> by greenish-brown discoloration of the corneal margin appearing first at the upper periphery (</w:t>
            </w:r>
            <w:hyperlink r:id="rId9" w:tooltip="View now" w:history="1">
              <w:r w:rsidRPr="003F4F50">
                <w:rPr>
                  <w:rFonts w:ascii="Times New Roman" w:eastAsia="Times New Roman" w:hAnsi="Times New Roman" w:cs="Times New Roman"/>
                  <w:color w:val="0000FF"/>
                  <w:sz w:val="24"/>
                  <w:szCs w:val="24"/>
                  <w:u w:val="single"/>
                </w:rPr>
                <w:t>Fig. 23.33</w:t>
              </w:r>
            </w:hyperlink>
            <w:r w:rsidRPr="003F4F50">
              <w:rPr>
                <w:rFonts w:ascii="Times New Roman" w:eastAsia="Times New Roman" w:hAnsi="Times New Roman" w:cs="Times New Roman"/>
                <w:sz w:val="24"/>
                <w:szCs w:val="24"/>
              </w:rPr>
              <w:t xml:space="preserve">). They eventually disappear with treatment. </w:t>
            </w:r>
          </w:p>
        </w:tc>
      </w:tr>
    </w:tbl>
    <w:p w:rsidR="003F4F50" w:rsidRPr="003F4F50" w:rsidRDefault="003F4F50" w:rsidP="003F4F50">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8640"/>
      </w:tblGrid>
      <w:tr w:rsidR="003F4F50" w:rsidRPr="003F4F50">
        <w:trPr>
          <w:tblCellSpacing w:w="0" w:type="dxa"/>
        </w:trPr>
        <w:tc>
          <w:tcPr>
            <w:tcW w:w="5000" w:type="pct"/>
            <w:shd w:val="clear" w:color="auto" w:fill="FFFFFF"/>
            <w:vAlign w:val="center"/>
            <w:hideMark/>
          </w:tcPr>
          <w:p w:rsidR="003F4F50" w:rsidRPr="003F4F50" w:rsidRDefault="003F4F50" w:rsidP="003F4F50">
            <w:pPr>
              <w:spacing w:after="0" w:line="240" w:lineRule="auto"/>
              <w:rPr>
                <w:rFonts w:ascii="Times New Roman" w:eastAsia="Times New Roman" w:hAnsi="Times New Roman" w:cs="Times New Roman"/>
                <w:sz w:val="24"/>
                <w:szCs w:val="24"/>
              </w:rPr>
            </w:pPr>
            <w:bookmarkStart w:id="42" w:name="HC023199"/>
            <w:bookmarkEnd w:id="42"/>
            <w:r w:rsidRPr="003F4F50">
              <w:rPr>
                <w:rFonts w:ascii="Times New Roman" w:eastAsia="Times New Roman" w:hAnsi="Times New Roman" w:cs="Times New Roman"/>
                <w:sz w:val="24"/>
                <w:szCs w:val="24"/>
                <w:highlight w:val="yellow"/>
              </w:rPr>
              <w:t>Investigations</w:t>
            </w:r>
            <w:r w:rsidRPr="003F4F50">
              <w:rPr>
                <w:rFonts w:ascii="Times New Roman" w:eastAsia="Times New Roman" w:hAnsi="Times New Roman" w:cs="Times New Roman"/>
                <w:sz w:val="24"/>
                <w:szCs w:val="24"/>
              </w:rPr>
              <w:t xml:space="preserve"> </w:t>
            </w:r>
          </w:p>
        </w:tc>
      </w:tr>
    </w:tbl>
    <w:p w:rsidR="003F4F50" w:rsidRPr="003F4F50" w:rsidRDefault="003F4F50" w:rsidP="003F4F50">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8640"/>
      </w:tblGrid>
      <w:tr w:rsidR="003F4F50" w:rsidRPr="003F4F50">
        <w:trPr>
          <w:tblCellSpacing w:w="0" w:type="dxa"/>
        </w:trPr>
        <w:tc>
          <w:tcPr>
            <w:tcW w:w="5000" w:type="pct"/>
            <w:shd w:val="clear" w:color="auto" w:fill="FFFFFF"/>
            <w:vAlign w:val="center"/>
            <w:hideMark/>
          </w:tcPr>
          <w:p w:rsidR="003F4F50" w:rsidRPr="003F4F50" w:rsidRDefault="003F4F50" w:rsidP="003F4F50">
            <w:pPr>
              <w:spacing w:after="0" w:line="240" w:lineRule="auto"/>
              <w:rPr>
                <w:rFonts w:ascii="Times New Roman" w:eastAsia="Times New Roman" w:hAnsi="Times New Roman" w:cs="Times New Roman"/>
                <w:sz w:val="24"/>
                <w:szCs w:val="24"/>
              </w:rPr>
            </w:pPr>
            <w:bookmarkStart w:id="43" w:name="P023328"/>
            <w:bookmarkEnd w:id="43"/>
            <w:r w:rsidRPr="003F4F50">
              <w:rPr>
                <w:rFonts w:ascii="Times New Roman" w:eastAsia="Times New Roman" w:hAnsi="Times New Roman" w:cs="Times New Roman"/>
                <w:sz w:val="24"/>
                <w:szCs w:val="24"/>
              </w:rPr>
              <w:t xml:space="preserve">A low serum </w:t>
            </w:r>
            <w:proofErr w:type="spellStart"/>
            <w:r w:rsidRPr="003F4F50">
              <w:rPr>
                <w:rFonts w:ascii="Times New Roman" w:eastAsia="Times New Roman" w:hAnsi="Times New Roman" w:cs="Times New Roman"/>
                <w:sz w:val="24"/>
                <w:szCs w:val="24"/>
              </w:rPr>
              <w:t>caeruloplasmin</w:t>
            </w:r>
            <w:proofErr w:type="spellEnd"/>
            <w:r w:rsidRPr="003F4F50">
              <w:rPr>
                <w:rFonts w:ascii="Times New Roman" w:eastAsia="Times New Roman" w:hAnsi="Times New Roman" w:cs="Times New Roman"/>
                <w:sz w:val="24"/>
                <w:szCs w:val="24"/>
              </w:rPr>
              <w:t xml:space="preserve"> is the best single laboratory clue to the diagnosis. However, advanced liver failure from any cause can reduce the serum </w:t>
            </w:r>
            <w:proofErr w:type="spellStart"/>
            <w:r w:rsidRPr="003F4F50">
              <w:rPr>
                <w:rFonts w:ascii="Times New Roman" w:eastAsia="Times New Roman" w:hAnsi="Times New Roman" w:cs="Times New Roman"/>
                <w:sz w:val="24"/>
                <w:szCs w:val="24"/>
              </w:rPr>
              <w:t>caeruloplasmin</w:t>
            </w:r>
            <w:proofErr w:type="spellEnd"/>
            <w:r w:rsidRPr="003F4F50">
              <w:rPr>
                <w:rFonts w:ascii="Times New Roman" w:eastAsia="Times New Roman" w:hAnsi="Times New Roman" w:cs="Times New Roman"/>
                <w:sz w:val="24"/>
                <w:szCs w:val="24"/>
              </w:rPr>
              <w:t xml:space="preserve">, and occasionally it is normal in Wilson's disease. Other features of disordered copper metabolism should therefore be sought; these include a high free serum copper concentration, a high urine copper excretion of greater than 0.6 </w:t>
            </w:r>
            <w:proofErr w:type="spellStart"/>
            <w:r w:rsidRPr="003F4F50">
              <w:rPr>
                <w:rFonts w:ascii="Times New Roman" w:eastAsia="Times New Roman" w:hAnsi="Times New Roman" w:cs="Times New Roman"/>
                <w:sz w:val="24"/>
                <w:szCs w:val="24"/>
              </w:rPr>
              <w:t>μmol</w:t>
            </w:r>
            <w:proofErr w:type="spellEnd"/>
            <w:r w:rsidRPr="003F4F50">
              <w:rPr>
                <w:rFonts w:ascii="Times New Roman" w:eastAsia="Times New Roman" w:hAnsi="Times New Roman" w:cs="Times New Roman"/>
                <w:sz w:val="24"/>
                <w:szCs w:val="24"/>
              </w:rPr>
              <w:t>/24 hrs and a very high hepatic copper content. Measuring 24-hour urinary copper excretion whilst giving D-</w:t>
            </w:r>
            <w:proofErr w:type="spellStart"/>
            <w:r w:rsidRPr="003F4F50">
              <w:rPr>
                <w:rFonts w:ascii="Times New Roman" w:eastAsia="Times New Roman" w:hAnsi="Times New Roman" w:cs="Times New Roman"/>
                <w:sz w:val="24"/>
                <w:szCs w:val="24"/>
              </w:rPr>
              <w:t>penicillamine</w:t>
            </w:r>
            <w:proofErr w:type="spellEnd"/>
            <w:r w:rsidRPr="003F4F50">
              <w:rPr>
                <w:rFonts w:ascii="Times New Roman" w:eastAsia="Times New Roman" w:hAnsi="Times New Roman" w:cs="Times New Roman"/>
                <w:sz w:val="24"/>
                <w:szCs w:val="24"/>
              </w:rPr>
              <w:t xml:space="preserve"> is a useful confirmatory test; more than 25 </w:t>
            </w:r>
            <w:proofErr w:type="spellStart"/>
            <w:r w:rsidRPr="003F4F50">
              <w:rPr>
                <w:rFonts w:ascii="Times New Roman" w:eastAsia="Times New Roman" w:hAnsi="Times New Roman" w:cs="Times New Roman"/>
                <w:sz w:val="24"/>
                <w:szCs w:val="24"/>
              </w:rPr>
              <w:t>μmol</w:t>
            </w:r>
            <w:proofErr w:type="spellEnd"/>
            <w:r w:rsidRPr="003F4F50">
              <w:rPr>
                <w:rFonts w:ascii="Times New Roman" w:eastAsia="Times New Roman" w:hAnsi="Times New Roman" w:cs="Times New Roman"/>
                <w:sz w:val="24"/>
                <w:szCs w:val="24"/>
              </w:rPr>
              <w:t xml:space="preserve">/24 hrs is considered diagnostic of Wilson's disease. </w:t>
            </w:r>
          </w:p>
        </w:tc>
      </w:tr>
    </w:tbl>
    <w:p w:rsidR="003F4F50" w:rsidRPr="003F4F50" w:rsidRDefault="003F4F50" w:rsidP="003F4F50">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8640"/>
      </w:tblGrid>
      <w:tr w:rsidR="003F4F50" w:rsidRPr="003F4F50">
        <w:trPr>
          <w:tblCellSpacing w:w="0" w:type="dxa"/>
        </w:trPr>
        <w:tc>
          <w:tcPr>
            <w:tcW w:w="5000" w:type="pct"/>
            <w:shd w:val="clear" w:color="auto" w:fill="FFFFFF"/>
            <w:vAlign w:val="center"/>
            <w:hideMark/>
          </w:tcPr>
          <w:p w:rsidR="003F4F50" w:rsidRDefault="003F4F50" w:rsidP="003F4F50">
            <w:pPr>
              <w:spacing w:after="0" w:line="240" w:lineRule="auto"/>
              <w:rPr>
                <w:rFonts w:ascii="Times New Roman" w:eastAsia="Times New Roman" w:hAnsi="Times New Roman" w:cs="Times New Roman" w:hint="cs"/>
                <w:sz w:val="24"/>
                <w:szCs w:val="24"/>
                <w:rtl/>
              </w:rPr>
            </w:pPr>
            <w:bookmarkStart w:id="44" w:name="P023329"/>
            <w:bookmarkEnd w:id="44"/>
            <w:r w:rsidRPr="003F4F50">
              <w:rPr>
                <w:rFonts w:ascii="Times New Roman" w:eastAsia="Times New Roman" w:hAnsi="Times New Roman" w:cs="Times New Roman"/>
                <w:sz w:val="24"/>
                <w:szCs w:val="24"/>
              </w:rPr>
              <w:t xml:space="preserve">Genetic testing is limited by the existence of multiple genetic defects, but may be useful in screening families once the abnormality has been identified in an affected individual. </w:t>
            </w:r>
          </w:p>
          <w:p w:rsidR="00DD0871" w:rsidRPr="003F4F50" w:rsidRDefault="00DD0871" w:rsidP="003F4F50">
            <w:pPr>
              <w:spacing w:after="0" w:line="240" w:lineRule="auto"/>
              <w:rPr>
                <w:rFonts w:ascii="Times New Roman" w:eastAsia="Times New Roman" w:hAnsi="Times New Roman" w:cs="Times New Roman"/>
                <w:sz w:val="24"/>
                <w:szCs w:val="24"/>
              </w:rPr>
            </w:pPr>
          </w:p>
        </w:tc>
      </w:tr>
    </w:tbl>
    <w:p w:rsidR="003F4F50" w:rsidRPr="003F4F50" w:rsidRDefault="003F4F50" w:rsidP="003F4F50">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8640"/>
      </w:tblGrid>
      <w:tr w:rsidR="003F4F50" w:rsidRPr="003F4F50">
        <w:trPr>
          <w:tblCellSpacing w:w="0" w:type="dxa"/>
        </w:trPr>
        <w:tc>
          <w:tcPr>
            <w:tcW w:w="5000" w:type="pct"/>
            <w:shd w:val="clear" w:color="auto" w:fill="FFFFFF"/>
            <w:vAlign w:val="center"/>
            <w:hideMark/>
          </w:tcPr>
          <w:p w:rsidR="003F4F50" w:rsidRPr="003F4F50" w:rsidRDefault="003F4F50" w:rsidP="003F4F50">
            <w:pPr>
              <w:spacing w:after="0" w:line="240" w:lineRule="auto"/>
              <w:rPr>
                <w:rFonts w:ascii="Times New Roman" w:eastAsia="Times New Roman" w:hAnsi="Times New Roman" w:cs="Times New Roman"/>
                <w:sz w:val="24"/>
                <w:szCs w:val="24"/>
              </w:rPr>
            </w:pPr>
            <w:bookmarkStart w:id="45" w:name="HC023200"/>
            <w:bookmarkEnd w:id="45"/>
            <w:r w:rsidRPr="003F4F50">
              <w:rPr>
                <w:rFonts w:ascii="Times New Roman" w:eastAsia="Times New Roman" w:hAnsi="Times New Roman" w:cs="Times New Roman"/>
                <w:sz w:val="24"/>
                <w:szCs w:val="24"/>
                <w:highlight w:val="yellow"/>
              </w:rPr>
              <w:t>Management</w:t>
            </w:r>
            <w:r w:rsidRPr="003F4F50">
              <w:rPr>
                <w:rFonts w:ascii="Times New Roman" w:eastAsia="Times New Roman" w:hAnsi="Times New Roman" w:cs="Times New Roman"/>
                <w:sz w:val="24"/>
                <w:szCs w:val="24"/>
              </w:rPr>
              <w:t xml:space="preserve"> </w:t>
            </w:r>
          </w:p>
        </w:tc>
      </w:tr>
    </w:tbl>
    <w:p w:rsidR="003F4F50" w:rsidRPr="003F4F50" w:rsidRDefault="003F4F50" w:rsidP="003F4F50">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8640"/>
      </w:tblGrid>
      <w:tr w:rsidR="003F4F50" w:rsidRPr="003F4F50">
        <w:trPr>
          <w:tblCellSpacing w:w="0" w:type="dxa"/>
        </w:trPr>
        <w:tc>
          <w:tcPr>
            <w:tcW w:w="5000" w:type="pct"/>
            <w:shd w:val="clear" w:color="auto" w:fill="FFFFFF"/>
            <w:vAlign w:val="center"/>
            <w:hideMark/>
          </w:tcPr>
          <w:p w:rsidR="003F4F50" w:rsidRPr="003F4F50" w:rsidRDefault="003F4F50" w:rsidP="003F4F50">
            <w:pPr>
              <w:spacing w:after="0" w:line="240" w:lineRule="auto"/>
              <w:rPr>
                <w:rFonts w:ascii="Times New Roman" w:eastAsia="Times New Roman" w:hAnsi="Times New Roman" w:cs="Times New Roman"/>
                <w:sz w:val="24"/>
                <w:szCs w:val="24"/>
              </w:rPr>
            </w:pPr>
            <w:bookmarkStart w:id="46" w:name="F023033"/>
            <w:bookmarkEnd w:id="46"/>
          </w:p>
        </w:tc>
      </w:tr>
    </w:tbl>
    <w:p w:rsidR="003F4F50" w:rsidRPr="003F4F50" w:rsidRDefault="003F4F50" w:rsidP="003F4F50">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8640"/>
      </w:tblGrid>
      <w:tr w:rsidR="003F4F50" w:rsidRPr="003F4F50">
        <w:trPr>
          <w:tblCellSpacing w:w="0" w:type="dxa"/>
        </w:trPr>
        <w:tc>
          <w:tcPr>
            <w:tcW w:w="5000" w:type="pct"/>
            <w:shd w:val="clear" w:color="auto" w:fill="FFFFFF"/>
            <w:vAlign w:val="center"/>
            <w:hideMark/>
          </w:tcPr>
          <w:p w:rsidR="003F4F50" w:rsidRPr="003F4F50" w:rsidRDefault="003F4F50" w:rsidP="003F4F50">
            <w:pPr>
              <w:spacing w:after="0" w:line="240" w:lineRule="auto"/>
              <w:rPr>
                <w:rFonts w:ascii="Times New Roman" w:eastAsia="Times New Roman" w:hAnsi="Times New Roman" w:cs="Times New Roman"/>
                <w:sz w:val="24"/>
                <w:szCs w:val="24"/>
              </w:rPr>
            </w:pPr>
            <w:bookmarkStart w:id="47" w:name="P023330"/>
            <w:bookmarkEnd w:id="47"/>
            <w:r w:rsidRPr="003F4F50">
              <w:rPr>
                <w:rFonts w:ascii="Times New Roman" w:eastAsia="Times New Roman" w:hAnsi="Times New Roman" w:cs="Times New Roman"/>
                <w:sz w:val="24"/>
                <w:szCs w:val="24"/>
              </w:rPr>
              <w:t xml:space="preserve">The copper-binding agent </w:t>
            </w:r>
            <w:proofErr w:type="spellStart"/>
            <w:r w:rsidRPr="003F4F50">
              <w:rPr>
                <w:rFonts w:ascii="Times New Roman" w:eastAsia="Times New Roman" w:hAnsi="Times New Roman" w:cs="Times New Roman"/>
                <w:sz w:val="24"/>
                <w:szCs w:val="24"/>
              </w:rPr>
              <w:t>penicillamine</w:t>
            </w:r>
            <w:proofErr w:type="spellEnd"/>
            <w:r w:rsidRPr="003F4F50">
              <w:rPr>
                <w:rFonts w:ascii="Times New Roman" w:eastAsia="Times New Roman" w:hAnsi="Times New Roman" w:cs="Times New Roman"/>
                <w:sz w:val="24"/>
                <w:szCs w:val="24"/>
              </w:rPr>
              <w:t xml:space="preserve"> is the drug of choice. The dose given must be sufficient to produce </w:t>
            </w:r>
            <w:proofErr w:type="spellStart"/>
            <w:r w:rsidRPr="003F4F50">
              <w:rPr>
                <w:rFonts w:ascii="Times New Roman" w:eastAsia="Times New Roman" w:hAnsi="Times New Roman" w:cs="Times New Roman"/>
                <w:sz w:val="24"/>
                <w:szCs w:val="24"/>
              </w:rPr>
              <w:t>cupriuresis</w:t>
            </w:r>
            <w:proofErr w:type="spellEnd"/>
            <w:r w:rsidRPr="003F4F50">
              <w:rPr>
                <w:rFonts w:ascii="Times New Roman" w:eastAsia="Times New Roman" w:hAnsi="Times New Roman" w:cs="Times New Roman"/>
                <w:sz w:val="24"/>
                <w:szCs w:val="24"/>
              </w:rPr>
              <w:t xml:space="preserve"> and most patients require 1.5 g/day (range 1-4 g). The dose can be reduced once the disease is in remission but treatment must continue for life, even through pregnancy. Care must be taken to ensure that </w:t>
            </w:r>
            <w:proofErr w:type="spellStart"/>
            <w:r w:rsidRPr="003F4F50">
              <w:rPr>
                <w:rFonts w:ascii="Times New Roman" w:eastAsia="Times New Roman" w:hAnsi="Times New Roman" w:cs="Times New Roman"/>
                <w:sz w:val="24"/>
                <w:szCs w:val="24"/>
              </w:rPr>
              <w:t>reaccumulation</w:t>
            </w:r>
            <w:proofErr w:type="spellEnd"/>
            <w:r w:rsidRPr="003F4F50">
              <w:rPr>
                <w:rFonts w:ascii="Times New Roman" w:eastAsia="Times New Roman" w:hAnsi="Times New Roman" w:cs="Times New Roman"/>
                <w:sz w:val="24"/>
                <w:szCs w:val="24"/>
              </w:rPr>
              <w:t xml:space="preserve"> of copper does not occur. Abrupt discontinuation of treatment must be avoided because this may precipitate acute liver failure. Toxic effects of </w:t>
            </w:r>
            <w:proofErr w:type="spellStart"/>
            <w:r w:rsidRPr="003F4F50">
              <w:rPr>
                <w:rFonts w:ascii="Times New Roman" w:eastAsia="Times New Roman" w:hAnsi="Times New Roman" w:cs="Times New Roman"/>
                <w:sz w:val="24"/>
                <w:szCs w:val="24"/>
              </w:rPr>
              <w:t>penicillamine</w:t>
            </w:r>
            <w:proofErr w:type="spellEnd"/>
            <w:r w:rsidRPr="003F4F50">
              <w:rPr>
                <w:rFonts w:ascii="Times New Roman" w:eastAsia="Times New Roman" w:hAnsi="Times New Roman" w:cs="Times New Roman"/>
                <w:sz w:val="24"/>
                <w:szCs w:val="24"/>
              </w:rPr>
              <w:t xml:space="preserve"> occur in one-third of patients and include rashes, protein-losing nephropathy, lupus-like syndrome and bone marrow depression. If these do occur, </w:t>
            </w:r>
            <w:proofErr w:type="spellStart"/>
            <w:r w:rsidRPr="003F4F50">
              <w:rPr>
                <w:rFonts w:ascii="Times New Roman" w:eastAsia="Times New Roman" w:hAnsi="Times New Roman" w:cs="Times New Roman"/>
                <w:sz w:val="24"/>
                <w:szCs w:val="24"/>
              </w:rPr>
              <w:t>trientine</w:t>
            </w:r>
            <w:proofErr w:type="spellEnd"/>
            <w:r w:rsidRPr="003F4F50">
              <w:rPr>
                <w:rFonts w:ascii="Times New Roman" w:eastAsia="Times New Roman" w:hAnsi="Times New Roman" w:cs="Times New Roman"/>
                <w:sz w:val="24"/>
                <w:szCs w:val="24"/>
              </w:rPr>
              <w:t xml:space="preserve"> </w:t>
            </w:r>
            <w:proofErr w:type="spellStart"/>
            <w:r w:rsidRPr="003F4F50">
              <w:rPr>
                <w:rFonts w:ascii="Times New Roman" w:eastAsia="Times New Roman" w:hAnsi="Times New Roman" w:cs="Times New Roman"/>
                <w:sz w:val="24"/>
                <w:szCs w:val="24"/>
              </w:rPr>
              <w:t>dihydrochloride</w:t>
            </w:r>
            <w:proofErr w:type="spellEnd"/>
            <w:r w:rsidRPr="003F4F50">
              <w:rPr>
                <w:rFonts w:ascii="Times New Roman" w:eastAsia="Times New Roman" w:hAnsi="Times New Roman" w:cs="Times New Roman"/>
                <w:sz w:val="24"/>
                <w:szCs w:val="24"/>
              </w:rPr>
              <w:t xml:space="preserve"> (1.2-2.4 g/day) and zinc (50 mg 8-hourly) are alternative effective therapies. </w:t>
            </w:r>
          </w:p>
        </w:tc>
      </w:tr>
    </w:tbl>
    <w:p w:rsidR="003F4F50" w:rsidRPr="003F4F50" w:rsidRDefault="003F4F50" w:rsidP="003F4F50">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8640"/>
      </w:tblGrid>
      <w:tr w:rsidR="003F4F50" w:rsidRPr="003F4F50">
        <w:trPr>
          <w:tblCellSpacing w:w="0" w:type="dxa"/>
        </w:trPr>
        <w:tc>
          <w:tcPr>
            <w:tcW w:w="5000" w:type="pct"/>
            <w:shd w:val="clear" w:color="auto" w:fill="FFFFFF"/>
            <w:vAlign w:val="center"/>
            <w:hideMark/>
          </w:tcPr>
          <w:p w:rsidR="003F4F50" w:rsidRPr="003F4F50" w:rsidRDefault="003F4F50" w:rsidP="003F4F50">
            <w:pPr>
              <w:spacing w:after="0" w:line="240" w:lineRule="auto"/>
              <w:rPr>
                <w:rFonts w:ascii="Times New Roman" w:eastAsia="Times New Roman" w:hAnsi="Times New Roman" w:cs="Times New Roman"/>
                <w:sz w:val="24"/>
                <w:szCs w:val="24"/>
              </w:rPr>
            </w:pPr>
            <w:bookmarkStart w:id="48" w:name="P023332"/>
            <w:bookmarkEnd w:id="48"/>
            <w:r w:rsidRPr="003F4F50">
              <w:rPr>
                <w:rFonts w:ascii="Times New Roman" w:eastAsia="Times New Roman" w:hAnsi="Times New Roman" w:cs="Times New Roman"/>
                <w:sz w:val="24"/>
                <w:szCs w:val="24"/>
              </w:rPr>
              <w:t xml:space="preserve">Liver transplantation is indicated for </w:t>
            </w:r>
            <w:proofErr w:type="spellStart"/>
            <w:r w:rsidRPr="003F4F50">
              <w:rPr>
                <w:rFonts w:ascii="Times New Roman" w:eastAsia="Times New Roman" w:hAnsi="Times New Roman" w:cs="Times New Roman"/>
                <w:sz w:val="24"/>
                <w:szCs w:val="24"/>
              </w:rPr>
              <w:t>fulminant</w:t>
            </w:r>
            <w:proofErr w:type="spellEnd"/>
            <w:r w:rsidRPr="003F4F50">
              <w:rPr>
                <w:rFonts w:ascii="Times New Roman" w:eastAsia="Times New Roman" w:hAnsi="Times New Roman" w:cs="Times New Roman"/>
                <w:sz w:val="24"/>
                <w:szCs w:val="24"/>
              </w:rPr>
              <w:t xml:space="preserve"> liver failure or for advanced cirrhosis with liver failure. The value of liver transplantation in severe neurological Wilson's disease is highly controversial. </w:t>
            </w:r>
          </w:p>
        </w:tc>
      </w:tr>
    </w:tbl>
    <w:p w:rsidR="003F4F50" w:rsidRPr="003F4F50" w:rsidRDefault="003F4F50" w:rsidP="003F4F50">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8640"/>
      </w:tblGrid>
      <w:tr w:rsidR="003F4F50" w:rsidRPr="003F4F50">
        <w:trPr>
          <w:tblCellSpacing w:w="0" w:type="dxa"/>
        </w:trPr>
        <w:tc>
          <w:tcPr>
            <w:tcW w:w="5000" w:type="pct"/>
            <w:shd w:val="clear" w:color="auto" w:fill="FFFFFF"/>
            <w:vAlign w:val="center"/>
            <w:hideMark/>
          </w:tcPr>
          <w:p w:rsidR="003F4F50" w:rsidRPr="003F4F50" w:rsidRDefault="003F4F50" w:rsidP="003F4F50">
            <w:pPr>
              <w:spacing w:after="0" w:line="240" w:lineRule="auto"/>
              <w:rPr>
                <w:rFonts w:ascii="Times New Roman" w:eastAsia="Times New Roman" w:hAnsi="Times New Roman" w:cs="Times New Roman"/>
                <w:sz w:val="24"/>
                <w:szCs w:val="24"/>
              </w:rPr>
            </w:pPr>
            <w:bookmarkStart w:id="49" w:name="HC023201"/>
            <w:bookmarkEnd w:id="49"/>
            <w:r w:rsidRPr="003F4F50">
              <w:rPr>
                <w:rFonts w:ascii="Times New Roman" w:eastAsia="Times New Roman" w:hAnsi="Times New Roman" w:cs="Times New Roman"/>
                <w:sz w:val="24"/>
                <w:szCs w:val="24"/>
                <w:highlight w:val="yellow"/>
              </w:rPr>
              <w:t>Prognosis</w:t>
            </w:r>
            <w:r w:rsidRPr="003F4F50">
              <w:rPr>
                <w:rFonts w:ascii="Times New Roman" w:eastAsia="Times New Roman" w:hAnsi="Times New Roman" w:cs="Times New Roman"/>
                <w:sz w:val="24"/>
                <w:szCs w:val="24"/>
              </w:rPr>
              <w:t xml:space="preserve"> </w:t>
            </w:r>
          </w:p>
        </w:tc>
      </w:tr>
    </w:tbl>
    <w:p w:rsidR="003F4F50" w:rsidRPr="003F4F50" w:rsidRDefault="003F4F50" w:rsidP="003F4F50">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8640"/>
      </w:tblGrid>
      <w:tr w:rsidR="003F4F50" w:rsidRPr="003F4F50">
        <w:trPr>
          <w:tblCellSpacing w:w="0" w:type="dxa"/>
        </w:trPr>
        <w:tc>
          <w:tcPr>
            <w:tcW w:w="5000" w:type="pct"/>
            <w:shd w:val="clear" w:color="auto" w:fill="FFFFFF"/>
            <w:vAlign w:val="center"/>
            <w:hideMark/>
          </w:tcPr>
          <w:p w:rsidR="003F4F50" w:rsidRPr="003F4F50" w:rsidRDefault="003F4F50" w:rsidP="003F4F50">
            <w:pPr>
              <w:spacing w:after="0" w:line="240" w:lineRule="auto"/>
              <w:rPr>
                <w:rFonts w:ascii="Times New Roman" w:eastAsia="Times New Roman" w:hAnsi="Times New Roman" w:cs="Times New Roman"/>
                <w:sz w:val="24"/>
                <w:szCs w:val="24"/>
              </w:rPr>
            </w:pPr>
            <w:bookmarkStart w:id="50" w:name="P023333"/>
            <w:bookmarkEnd w:id="50"/>
            <w:r w:rsidRPr="003F4F50">
              <w:rPr>
                <w:rFonts w:ascii="Times New Roman" w:eastAsia="Times New Roman" w:hAnsi="Times New Roman" w:cs="Times New Roman"/>
                <w:sz w:val="24"/>
                <w:szCs w:val="24"/>
              </w:rPr>
              <w:t>The prognosis is excellent, provided treatment is started before there is irreversible damage. Siblings and children of patients with Wilson's disease must be investigated and treatment should be given to all infected individuals, even if they are asymptomatic</w:t>
            </w:r>
          </w:p>
        </w:tc>
      </w:tr>
    </w:tbl>
    <w:p w:rsidR="00000000" w:rsidRDefault="00DD0871">
      <w:pPr>
        <w:rPr>
          <w:rFonts w:hint="cs"/>
          <w:rtl/>
        </w:rPr>
      </w:pPr>
    </w:p>
    <w:tbl>
      <w:tblPr>
        <w:tblW w:w="5000" w:type="pct"/>
        <w:tblCellSpacing w:w="0" w:type="dxa"/>
        <w:tblCellMar>
          <w:left w:w="0" w:type="dxa"/>
          <w:right w:w="0" w:type="dxa"/>
        </w:tblCellMar>
        <w:tblLook w:val="04A0"/>
      </w:tblPr>
      <w:tblGrid>
        <w:gridCol w:w="8640"/>
      </w:tblGrid>
      <w:tr w:rsidR="00DD0871" w:rsidRPr="00DD0871">
        <w:trPr>
          <w:tblCellSpacing w:w="0" w:type="dxa"/>
        </w:trPr>
        <w:tc>
          <w:tcPr>
            <w:tcW w:w="5000" w:type="pct"/>
            <w:shd w:val="clear" w:color="auto" w:fill="FFFFFF"/>
            <w:vAlign w:val="center"/>
            <w:hideMark/>
          </w:tcPr>
          <w:p w:rsidR="00DD0871" w:rsidRPr="00DD0871" w:rsidRDefault="00DD0871" w:rsidP="00DD0871">
            <w:pPr>
              <w:spacing w:after="0" w:line="240" w:lineRule="auto"/>
              <w:rPr>
                <w:rFonts w:ascii="Times New Roman" w:eastAsia="Times New Roman" w:hAnsi="Times New Roman" w:cs="Times New Roman"/>
                <w:color w:val="FF0000"/>
                <w:sz w:val="24"/>
                <w:szCs w:val="24"/>
              </w:rPr>
            </w:pPr>
            <w:bookmarkStart w:id="51" w:name="HC023202"/>
            <w:bookmarkEnd w:id="51"/>
            <w:r w:rsidRPr="00DD0871">
              <w:rPr>
                <w:rFonts w:ascii="Times New Roman" w:eastAsia="Times New Roman" w:hAnsi="Times New Roman" w:cs="Times New Roman"/>
                <w:color w:val="FF0000"/>
                <w:sz w:val="24"/>
                <w:szCs w:val="24"/>
              </w:rPr>
              <w:t>ALPHA</w:t>
            </w:r>
            <w:r w:rsidRPr="00DD0871">
              <w:rPr>
                <w:rFonts w:ascii="Times New Roman" w:eastAsia="Times New Roman" w:hAnsi="Times New Roman" w:cs="Times New Roman"/>
                <w:color w:val="FF0000"/>
                <w:sz w:val="24"/>
                <w:szCs w:val="24"/>
                <w:vertAlign w:val="subscript"/>
              </w:rPr>
              <w:t>1</w:t>
            </w:r>
            <w:r w:rsidRPr="00DD0871">
              <w:rPr>
                <w:rFonts w:ascii="Times New Roman" w:eastAsia="Times New Roman" w:hAnsi="Times New Roman" w:cs="Times New Roman"/>
                <w:color w:val="FF0000"/>
                <w:sz w:val="24"/>
                <w:szCs w:val="24"/>
              </w:rPr>
              <w:t xml:space="preserve">-ANTITRYPSIN DEFICIENCY </w:t>
            </w:r>
          </w:p>
        </w:tc>
      </w:tr>
    </w:tbl>
    <w:p w:rsidR="00DD0871" w:rsidRPr="00DD0871" w:rsidRDefault="00DD0871" w:rsidP="00DD0871">
      <w:pPr>
        <w:spacing w:after="0" w:line="240" w:lineRule="auto"/>
        <w:rPr>
          <w:rFonts w:ascii="Times New Roman" w:eastAsia="Times New Roman" w:hAnsi="Times New Roman" w:cs="Times New Roman"/>
          <w:vanish/>
          <w:color w:val="FF0000"/>
          <w:sz w:val="24"/>
          <w:szCs w:val="24"/>
        </w:rPr>
      </w:pPr>
    </w:p>
    <w:tbl>
      <w:tblPr>
        <w:tblW w:w="5000" w:type="pct"/>
        <w:tblCellSpacing w:w="0" w:type="dxa"/>
        <w:tblCellMar>
          <w:left w:w="0" w:type="dxa"/>
          <w:right w:w="0" w:type="dxa"/>
        </w:tblCellMar>
        <w:tblLook w:val="04A0"/>
      </w:tblPr>
      <w:tblGrid>
        <w:gridCol w:w="8640"/>
      </w:tblGrid>
      <w:tr w:rsidR="00DD0871" w:rsidRPr="00DD0871">
        <w:trPr>
          <w:tblCellSpacing w:w="0" w:type="dxa"/>
        </w:trPr>
        <w:tc>
          <w:tcPr>
            <w:tcW w:w="5000" w:type="pct"/>
            <w:vAlign w:val="center"/>
            <w:hideMark/>
          </w:tcPr>
          <w:p w:rsidR="00DD0871" w:rsidRPr="00DD0871" w:rsidRDefault="00DD0871" w:rsidP="00DD0871">
            <w:pPr>
              <w:spacing w:after="0" w:line="240" w:lineRule="auto"/>
              <w:jc w:val="right"/>
              <w:rPr>
                <w:rFonts w:ascii="Times New Roman" w:eastAsia="Times New Roman" w:hAnsi="Times New Roman" w:cs="Times New Roman"/>
                <w:sz w:val="24"/>
                <w:szCs w:val="24"/>
              </w:rPr>
            </w:pPr>
          </w:p>
        </w:tc>
      </w:tr>
      <w:tr w:rsidR="00DD0871" w:rsidRPr="00DD0871">
        <w:trPr>
          <w:tblCellSpacing w:w="0" w:type="dxa"/>
        </w:trPr>
        <w:tc>
          <w:tcPr>
            <w:tcW w:w="5000" w:type="pct"/>
            <w:shd w:val="clear" w:color="auto" w:fill="EEEEEE"/>
            <w:vAlign w:val="center"/>
            <w:hideMark/>
          </w:tcPr>
          <w:p w:rsidR="00DD0871" w:rsidRPr="00DD0871" w:rsidRDefault="00DD0871" w:rsidP="00DD0871">
            <w:pPr>
              <w:spacing w:after="0" w:line="240" w:lineRule="auto"/>
              <w:jc w:val="right"/>
              <w:rPr>
                <w:rFonts w:ascii="Times New Roman" w:eastAsia="Times New Roman" w:hAnsi="Times New Roman" w:cs="Times New Roman"/>
                <w:sz w:val="24"/>
                <w:szCs w:val="24"/>
              </w:rPr>
            </w:pPr>
            <w:bookmarkStart w:id="52" w:name="P0977"/>
            <w:bookmarkEnd w:id="52"/>
          </w:p>
        </w:tc>
      </w:tr>
      <w:tr w:rsidR="00DD0871" w:rsidRPr="00DD0871">
        <w:trPr>
          <w:tblCellSpacing w:w="0" w:type="dxa"/>
        </w:trPr>
        <w:tc>
          <w:tcPr>
            <w:tcW w:w="5000" w:type="pct"/>
            <w:vAlign w:val="center"/>
            <w:hideMark/>
          </w:tcPr>
          <w:p w:rsidR="00DD0871" w:rsidRPr="00DD0871" w:rsidRDefault="00DD0871" w:rsidP="00DD0871">
            <w:pPr>
              <w:spacing w:after="0" w:line="240" w:lineRule="auto"/>
              <w:jc w:val="right"/>
              <w:rPr>
                <w:rFonts w:ascii="Times New Roman" w:eastAsia="Times New Roman" w:hAnsi="Times New Roman" w:cs="Times New Roman"/>
                <w:sz w:val="24"/>
                <w:szCs w:val="24"/>
              </w:rPr>
            </w:pPr>
          </w:p>
        </w:tc>
      </w:tr>
    </w:tbl>
    <w:p w:rsidR="00DD0871" w:rsidRPr="00DD0871" w:rsidRDefault="00DD0871" w:rsidP="00DD0871">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8640"/>
      </w:tblGrid>
      <w:tr w:rsidR="00DD0871" w:rsidRPr="00DD0871">
        <w:trPr>
          <w:tblCellSpacing w:w="0" w:type="dxa"/>
        </w:trPr>
        <w:tc>
          <w:tcPr>
            <w:tcW w:w="5000" w:type="pct"/>
            <w:shd w:val="clear" w:color="auto" w:fill="FFFFFF"/>
            <w:vAlign w:val="center"/>
            <w:hideMark/>
          </w:tcPr>
          <w:p w:rsidR="00DD0871" w:rsidRPr="00DD0871" w:rsidRDefault="00DD0871" w:rsidP="00DD0871">
            <w:pPr>
              <w:spacing w:after="0" w:line="240" w:lineRule="auto"/>
              <w:rPr>
                <w:rFonts w:ascii="Times New Roman" w:eastAsia="Times New Roman" w:hAnsi="Times New Roman" w:cs="Times New Roman"/>
                <w:sz w:val="24"/>
                <w:szCs w:val="24"/>
              </w:rPr>
            </w:pPr>
            <w:bookmarkStart w:id="53" w:name="F023034"/>
            <w:bookmarkEnd w:id="53"/>
          </w:p>
        </w:tc>
      </w:tr>
      <w:tr w:rsidR="00DD0871" w:rsidRPr="00DD0871">
        <w:trPr>
          <w:tblCellSpacing w:w="0" w:type="dxa"/>
        </w:trPr>
        <w:tc>
          <w:tcPr>
            <w:tcW w:w="5000" w:type="pct"/>
            <w:vAlign w:val="center"/>
            <w:hideMark/>
          </w:tcPr>
          <w:p w:rsidR="00DD0871" w:rsidRPr="00DD0871" w:rsidRDefault="00DD0871" w:rsidP="00DD0871">
            <w:pPr>
              <w:spacing w:after="0" w:line="240" w:lineRule="auto"/>
              <w:jc w:val="center"/>
              <w:rPr>
                <w:rFonts w:ascii="Times New Roman" w:eastAsia="Times New Roman" w:hAnsi="Times New Roman" w:cs="Times New Roman"/>
                <w:sz w:val="24"/>
                <w:szCs w:val="24"/>
              </w:rPr>
            </w:pPr>
          </w:p>
        </w:tc>
      </w:tr>
    </w:tbl>
    <w:p w:rsidR="00DD0871" w:rsidRPr="00DD0871" w:rsidRDefault="00DD0871" w:rsidP="00DD0871">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8640"/>
      </w:tblGrid>
      <w:tr w:rsidR="00DD0871" w:rsidRPr="00DD0871">
        <w:trPr>
          <w:tblCellSpacing w:w="0" w:type="dxa"/>
        </w:trPr>
        <w:tc>
          <w:tcPr>
            <w:tcW w:w="5000" w:type="pct"/>
            <w:shd w:val="clear" w:color="auto" w:fill="FFFFFF"/>
            <w:vAlign w:val="center"/>
            <w:hideMark/>
          </w:tcPr>
          <w:p w:rsidR="00DD0871" w:rsidRPr="00DD0871" w:rsidRDefault="00DD0871" w:rsidP="00DD0871">
            <w:pPr>
              <w:spacing w:after="0" w:line="240" w:lineRule="auto"/>
              <w:rPr>
                <w:rFonts w:ascii="Times New Roman" w:eastAsia="Times New Roman" w:hAnsi="Times New Roman" w:cs="Times New Roman"/>
                <w:sz w:val="24"/>
                <w:szCs w:val="24"/>
              </w:rPr>
            </w:pPr>
            <w:bookmarkStart w:id="54" w:name="P023335"/>
            <w:bookmarkEnd w:id="54"/>
          </w:p>
        </w:tc>
      </w:tr>
    </w:tbl>
    <w:p w:rsidR="00DD0871" w:rsidRPr="00DD0871" w:rsidRDefault="00DD0871" w:rsidP="00DD0871">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8640"/>
      </w:tblGrid>
      <w:tr w:rsidR="00DD0871" w:rsidRPr="00DD0871">
        <w:trPr>
          <w:tblCellSpacing w:w="0" w:type="dxa"/>
        </w:trPr>
        <w:tc>
          <w:tcPr>
            <w:tcW w:w="5000" w:type="pct"/>
            <w:shd w:val="clear" w:color="auto" w:fill="FFFFFF"/>
            <w:vAlign w:val="center"/>
            <w:hideMark/>
          </w:tcPr>
          <w:p w:rsidR="00DD0871" w:rsidRPr="00DD0871" w:rsidRDefault="00DD0871" w:rsidP="00DD0871">
            <w:pPr>
              <w:spacing w:after="0" w:line="240" w:lineRule="auto"/>
              <w:rPr>
                <w:rFonts w:ascii="Times New Roman" w:eastAsia="Times New Roman" w:hAnsi="Times New Roman" w:cs="Times New Roman"/>
                <w:sz w:val="24"/>
                <w:szCs w:val="24"/>
              </w:rPr>
            </w:pPr>
            <w:bookmarkStart w:id="55" w:name="P023334"/>
            <w:bookmarkEnd w:id="55"/>
            <w:r w:rsidRPr="00DD0871">
              <w:rPr>
                <w:rFonts w:ascii="Times New Roman" w:eastAsia="Times New Roman" w:hAnsi="Times New Roman" w:cs="Times New Roman"/>
                <w:sz w:val="24"/>
                <w:szCs w:val="24"/>
              </w:rPr>
              <w:t>Alpha</w:t>
            </w:r>
            <w:r w:rsidRPr="00DD0871">
              <w:rPr>
                <w:rFonts w:ascii="Times New Roman" w:eastAsia="Times New Roman" w:hAnsi="Times New Roman" w:cs="Times New Roman"/>
                <w:sz w:val="24"/>
                <w:szCs w:val="24"/>
                <w:vertAlign w:val="subscript"/>
              </w:rPr>
              <w:t>1</w:t>
            </w:r>
            <w:r w:rsidRPr="00DD0871">
              <w:rPr>
                <w:rFonts w:ascii="Times New Roman" w:eastAsia="Times New Roman" w:hAnsi="Times New Roman" w:cs="Times New Roman"/>
                <w:sz w:val="24"/>
                <w:szCs w:val="24"/>
              </w:rPr>
              <w:t>-antitrypsin (α</w:t>
            </w:r>
            <w:r w:rsidRPr="00DD0871">
              <w:rPr>
                <w:rFonts w:ascii="Times New Roman" w:eastAsia="Times New Roman" w:hAnsi="Times New Roman" w:cs="Times New Roman"/>
                <w:sz w:val="24"/>
                <w:szCs w:val="24"/>
                <w:vertAlign w:val="subscript"/>
              </w:rPr>
              <w:t>1</w:t>
            </w:r>
            <w:r w:rsidRPr="00DD0871">
              <w:rPr>
                <w:rFonts w:ascii="Times New Roman" w:eastAsia="Times New Roman" w:hAnsi="Times New Roman" w:cs="Times New Roman"/>
                <w:sz w:val="24"/>
                <w:szCs w:val="24"/>
              </w:rPr>
              <w:t>-AT) is a serine protease inhibitor (Pi) produced by the liver. The form of α</w:t>
            </w:r>
            <w:r w:rsidRPr="00DD0871">
              <w:rPr>
                <w:rFonts w:ascii="Times New Roman" w:eastAsia="Times New Roman" w:hAnsi="Times New Roman" w:cs="Times New Roman"/>
                <w:sz w:val="24"/>
                <w:szCs w:val="24"/>
                <w:vertAlign w:val="subscript"/>
              </w:rPr>
              <w:t>1</w:t>
            </w:r>
            <w:r w:rsidRPr="00DD0871">
              <w:rPr>
                <w:rFonts w:ascii="Times New Roman" w:eastAsia="Times New Roman" w:hAnsi="Times New Roman" w:cs="Times New Roman"/>
                <w:sz w:val="24"/>
                <w:szCs w:val="24"/>
              </w:rPr>
              <w:t>-AT is genetically determined, and one of these forms (</w:t>
            </w:r>
            <w:proofErr w:type="spellStart"/>
            <w:r w:rsidRPr="00DD0871">
              <w:rPr>
                <w:rFonts w:ascii="Times New Roman" w:eastAsia="Times New Roman" w:hAnsi="Times New Roman" w:cs="Times New Roman"/>
                <w:sz w:val="24"/>
                <w:szCs w:val="24"/>
              </w:rPr>
              <w:t>PiZ</w:t>
            </w:r>
            <w:proofErr w:type="spellEnd"/>
            <w:r w:rsidRPr="00DD0871">
              <w:rPr>
                <w:rFonts w:ascii="Times New Roman" w:eastAsia="Times New Roman" w:hAnsi="Times New Roman" w:cs="Times New Roman"/>
                <w:sz w:val="24"/>
                <w:szCs w:val="24"/>
              </w:rPr>
              <w:t xml:space="preserve">) cannot be secreted into the blood by liver cells because it is </w:t>
            </w:r>
            <w:proofErr w:type="spellStart"/>
            <w:r w:rsidRPr="00DD0871">
              <w:rPr>
                <w:rFonts w:ascii="Times New Roman" w:eastAsia="Times New Roman" w:hAnsi="Times New Roman" w:cs="Times New Roman"/>
                <w:sz w:val="24"/>
                <w:szCs w:val="24"/>
              </w:rPr>
              <w:t>polymerised</w:t>
            </w:r>
            <w:proofErr w:type="spellEnd"/>
            <w:r w:rsidRPr="00DD0871">
              <w:rPr>
                <w:rFonts w:ascii="Times New Roman" w:eastAsia="Times New Roman" w:hAnsi="Times New Roman" w:cs="Times New Roman"/>
                <w:sz w:val="24"/>
                <w:szCs w:val="24"/>
              </w:rPr>
              <w:t xml:space="preserve"> within the endoplasmic reticulum of the </w:t>
            </w:r>
            <w:proofErr w:type="spellStart"/>
            <w:r w:rsidRPr="00DD0871">
              <w:rPr>
                <w:rFonts w:ascii="Times New Roman" w:eastAsia="Times New Roman" w:hAnsi="Times New Roman" w:cs="Times New Roman"/>
                <w:sz w:val="24"/>
                <w:szCs w:val="24"/>
              </w:rPr>
              <w:t>hepatocyte</w:t>
            </w:r>
            <w:proofErr w:type="spellEnd"/>
            <w:r w:rsidRPr="00DD0871">
              <w:rPr>
                <w:rFonts w:ascii="Times New Roman" w:eastAsia="Times New Roman" w:hAnsi="Times New Roman" w:cs="Times New Roman"/>
                <w:sz w:val="24"/>
                <w:szCs w:val="24"/>
              </w:rPr>
              <w:t>. Homozygous individuals (</w:t>
            </w:r>
            <w:proofErr w:type="spellStart"/>
            <w:r w:rsidRPr="00DD0871">
              <w:rPr>
                <w:rFonts w:ascii="Times New Roman" w:eastAsia="Times New Roman" w:hAnsi="Times New Roman" w:cs="Times New Roman"/>
                <w:sz w:val="24"/>
                <w:szCs w:val="24"/>
              </w:rPr>
              <w:t>PiZZ</w:t>
            </w:r>
            <w:proofErr w:type="spellEnd"/>
            <w:r w:rsidRPr="00DD0871">
              <w:rPr>
                <w:rFonts w:ascii="Times New Roman" w:eastAsia="Times New Roman" w:hAnsi="Times New Roman" w:cs="Times New Roman"/>
                <w:sz w:val="24"/>
                <w:szCs w:val="24"/>
              </w:rPr>
              <w:t>) have low plasma α</w:t>
            </w:r>
            <w:r w:rsidRPr="00DD0871">
              <w:rPr>
                <w:rFonts w:ascii="Times New Roman" w:eastAsia="Times New Roman" w:hAnsi="Times New Roman" w:cs="Times New Roman"/>
                <w:sz w:val="24"/>
                <w:szCs w:val="24"/>
                <w:vertAlign w:val="subscript"/>
              </w:rPr>
              <w:t>1</w:t>
            </w:r>
            <w:r w:rsidRPr="00DD0871">
              <w:rPr>
                <w:rFonts w:ascii="Times New Roman" w:eastAsia="Times New Roman" w:hAnsi="Times New Roman" w:cs="Times New Roman"/>
                <w:sz w:val="24"/>
                <w:szCs w:val="24"/>
              </w:rPr>
              <w:t>-AT concentrations, although globules containing α</w:t>
            </w:r>
            <w:r w:rsidRPr="00DD0871">
              <w:rPr>
                <w:rFonts w:ascii="Times New Roman" w:eastAsia="Times New Roman" w:hAnsi="Times New Roman" w:cs="Times New Roman"/>
                <w:sz w:val="24"/>
                <w:szCs w:val="24"/>
                <w:vertAlign w:val="subscript"/>
              </w:rPr>
              <w:t>1</w:t>
            </w:r>
            <w:r w:rsidRPr="00DD0871">
              <w:rPr>
                <w:rFonts w:ascii="Times New Roman" w:eastAsia="Times New Roman" w:hAnsi="Times New Roman" w:cs="Times New Roman"/>
                <w:sz w:val="24"/>
                <w:szCs w:val="24"/>
              </w:rPr>
              <w:t>-AT are found in the liver, and they may develop hepatic and pulmonary disease (</w:t>
            </w:r>
            <w:hyperlink r:id="rId10" w:anchor="P0678" w:tooltip="Go here now" w:history="1">
              <w:r w:rsidRPr="00DD0871">
                <w:rPr>
                  <w:rFonts w:ascii="Times New Roman" w:eastAsia="Times New Roman" w:hAnsi="Times New Roman" w:cs="Times New Roman"/>
                  <w:color w:val="0000FF"/>
                  <w:sz w:val="24"/>
                  <w:szCs w:val="24"/>
                  <w:u w:val="single"/>
                </w:rPr>
                <w:t>p. 678</w:t>
              </w:r>
            </w:hyperlink>
            <w:r w:rsidRPr="00DD0871">
              <w:rPr>
                <w:rFonts w:ascii="Times New Roman" w:eastAsia="Times New Roman" w:hAnsi="Times New Roman" w:cs="Times New Roman"/>
                <w:sz w:val="24"/>
                <w:szCs w:val="24"/>
              </w:rPr>
              <w:t xml:space="preserve">). Liver disease includes </w:t>
            </w:r>
            <w:proofErr w:type="spellStart"/>
            <w:r w:rsidRPr="00DD0871">
              <w:rPr>
                <w:rFonts w:ascii="Times New Roman" w:eastAsia="Times New Roman" w:hAnsi="Times New Roman" w:cs="Times New Roman"/>
                <w:sz w:val="24"/>
                <w:szCs w:val="24"/>
              </w:rPr>
              <w:t>cholestatic</w:t>
            </w:r>
            <w:proofErr w:type="spellEnd"/>
            <w:r w:rsidRPr="00DD0871">
              <w:rPr>
                <w:rFonts w:ascii="Times New Roman" w:eastAsia="Times New Roman" w:hAnsi="Times New Roman" w:cs="Times New Roman"/>
                <w:sz w:val="24"/>
                <w:szCs w:val="24"/>
              </w:rPr>
              <w:t xml:space="preserve"> jaundice in the neonatal period (neonatal hepatitis) which can resolve spontaneously, chronic hepatitis and cirrhosis in adults, and in the long term </w:t>
            </w:r>
            <w:proofErr w:type="spellStart"/>
            <w:r w:rsidRPr="00DD0871">
              <w:rPr>
                <w:rFonts w:ascii="Times New Roman" w:eastAsia="Times New Roman" w:hAnsi="Times New Roman" w:cs="Times New Roman"/>
                <w:sz w:val="24"/>
                <w:szCs w:val="24"/>
              </w:rPr>
              <w:t>hepatocellular</w:t>
            </w:r>
            <w:proofErr w:type="spellEnd"/>
            <w:r w:rsidRPr="00DD0871">
              <w:rPr>
                <w:rFonts w:ascii="Times New Roman" w:eastAsia="Times New Roman" w:hAnsi="Times New Roman" w:cs="Times New Roman"/>
                <w:sz w:val="24"/>
                <w:szCs w:val="24"/>
              </w:rPr>
              <w:t xml:space="preserve"> carcinoma. There are no clinical features distinguishing liver disease due to α</w:t>
            </w:r>
            <w:r w:rsidRPr="00DD0871">
              <w:rPr>
                <w:rFonts w:ascii="Times New Roman" w:eastAsia="Times New Roman" w:hAnsi="Times New Roman" w:cs="Times New Roman"/>
                <w:sz w:val="24"/>
                <w:szCs w:val="24"/>
                <w:vertAlign w:val="subscript"/>
              </w:rPr>
              <w:t>1</w:t>
            </w:r>
            <w:r w:rsidRPr="00DD0871">
              <w:rPr>
                <w:rFonts w:ascii="Times New Roman" w:eastAsia="Times New Roman" w:hAnsi="Times New Roman" w:cs="Times New Roman"/>
                <w:sz w:val="24"/>
                <w:szCs w:val="24"/>
              </w:rPr>
              <w:t>-AT deficiency from other causes of liver disease, and the diagnosis is made from the low plasma α</w:t>
            </w:r>
            <w:r w:rsidRPr="00DD0871">
              <w:rPr>
                <w:rFonts w:ascii="Times New Roman" w:eastAsia="Times New Roman" w:hAnsi="Times New Roman" w:cs="Times New Roman"/>
                <w:sz w:val="24"/>
                <w:szCs w:val="24"/>
                <w:vertAlign w:val="subscript"/>
              </w:rPr>
              <w:t>1</w:t>
            </w:r>
            <w:r w:rsidRPr="00DD0871">
              <w:rPr>
                <w:rFonts w:ascii="Times New Roman" w:eastAsia="Times New Roman" w:hAnsi="Times New Roman" w:cs="Times New Roman"/>
                <w:sz w:val="24"/>
                <w:szCs w:val="24"/>
              </w:rPr>
              <w:t xml:space="preserve">-AT concentration and the </w:t>
            </w:r>
            <w:proofErr w:type="spellStart"/>
            <w:r w:rsidRPr="00DD0871">
              <w:rPr>
                <w:rFonts w:ascii="Times New Roman" w:eastAsia="Times New Roman" w:hAnsi="Times New Roman" w:cs="Times New Roman"/>
                <w:sz w:val="24"/>
                <w:szCs w:val="24"/>
              </w:rPr>
              <w:t>PiZZ</w:t>
            </w:r>
            <w:proofErr w:type="spellEnd"/>
            <w:r w:rsidRPr="00DD0871">
              <w:rPr>
                <w:rFonts w:ascii="Times New Roman" w:eastAsia="Times New Roman" w:hAnsi="Times New Roman" w:cs="Times New Roman"/>
                <w:sz w:val="24"/>
                <w:szCs w:val="24"/>
              </w:rPr>
              <w:t xml:space="preserve"> genotype. Alpha</w:t>
            </w:r>
            <w:r w:rsidRPr="00DD0871">
              <w:rPr>
                <w:rFonts w:ascii="Times New Roman" w:eastAsia="Times New Roman" w:hAnsi="Times New Roman" w:cs="Times New Roman"/>
                <w:sz w:val="24"/>
                <w:szCs w:val="24"/>
                <w:vertAlign w:val="subscript"/>
              </w:rPr>
              <w:t>1</w:t>
            </w:r>
            <w:r w:rsidRPr="00DD0871">
              <w:rPr>
                <w:rFonts w:ascii="Times New Roman" w:eastAsia="Times New Roman" w:hAnsi="Times New Roman" w:cs="Times New Roman"/>
                <w:sz w:val="24"/>
                <w:szCs w:val="24"/>
              </w:rPr>
              <w:t>-AT-containing globules can be demonstrated in the liver (</w:t>
            </w:r>
            <w:hyperlink r:id="rId11" w:tooltip="View now" w:history="1">
              <w:r w:rsidRPr="00DD0871">
                <w:rPr>
                  <w:rFonts w:ascii="Times New Roman" w:eastAsia="Times New Roman" w:hAnsi="Times New Roman" w:cs="Times New Roman"/>
                  <w:color w:val="0000FF"/>
                  <w:sz w:val="24"/>
                  <w:szCs w:val="24"/>
                  <w:u w:val="single"/>
                </w:rPr>
                <w:t>Fig. 23.34</w:t>
              </w:r>
            </w:hyperlink>
            <w:r w:rsidRPr="00DD0871">
              <w:rPr>
                <w:rFonts w:ascii="Times New Roman" w:eastAsia="Times New Roman" w:hAnsi="Times New Roman" w:cs="Times New Roman"/>
                <w:sz w:val="24"/>
                <w:szCs w:val="24"/>
              </w:rPr>
              <w:t>) but this is not necessary to make the diagnosis. Occasionally, patients with liver disease and minor reductions of plasma α</w:t>
            </w:r>
            <w:r w:rsidRPr="00DD0871">
              <w:rPr>
                <w:rFonts w:ascii="Times New Roman" w:eastAsia="Times New Roman" w:hAnsi="Times New Roman" w:cs="Times New Roman"/>
                <w:sz w:val="24"/>
                <w:szCs w:val="24"/>
                <w:vertAlign w:val="subscript"/>
              </w:rPr>
              <w:t>1</w:t>
            </w:r>
            <w:r w:rsidRPr="00DD0871">
              <w:rPr>
                <w:rFonts w:ascii="Times New Roman" w:eastAsia="Times New Roman" w:hAnsi="Times New Roman" w:cs="Times New Roman"/>
                <w:sz w:val="24"/>
                <w:szCs w:val="24"/>
              </w:rPr>
              <w:t>-AT concentrations have α</w:t>
            </w:r>
            <w:r w:rsidRPr="00DD0871">
              <w:rPr>
                <w:rFonts w:ascii="Times New Roman" w:eastAsia="Times New Roman" w:hAnsi="Times New Roman" w:cs="Times New Roman"/>
                <w:sz w:val="24"/>
                <w:szCs w:val="24"/>
                <w:vertAlign w:val="subscript"/>
              </w:rPr>
              <w:t>1</w:t>
            </w:r>
            <w:r w:rsidRPr="00DD0871">
              <w:rPr>
                <w:rFonts w:ascii="Times New Roman" w:eastAsia="Times New Roman" w:hAnsi="Times New Roman" w:cs="Times New Roman"/>
                <w:sz w:val="24"/>
                <w:szCs w:val="24"/>
              </w:rPr>
              <w:t xml:space="preserve">-AT phenotypes other than </w:t>
            </w:r>
            <w:proofErr w:type="spellStart"/>
            <w:r w:rsidRPr="00DD0871">
              <w:rPr>
                <w:rFonts w:ascii="Times New Roman" w:eastAsia="Times New Roman" w:hAnsi="Times New Roman" w:cs="Times New Roman"/>
                <w:sz w:val="24"/>
                <w:szCs w:val="24"/>
              </w:rPr>
              <w:t>PiZZ</w:t>
            </w:r>
            <w:proofErr w:type="spellEnd"/>
            <w:r w:rsidRPr="00DD0871">
              <w:rPr>
                <w:rFonts w:ascii="Times New Roman" w:eastAsia="Times New Roman" w:hAnsi="Times New Roman" w:cs="Times New Roman"/>
                <w:sz w:val="24"/>
                <w:szCs w:val="24"/>
              </w:rPr>
              <w:t xml:space="preserve">, such as </w:t>
            </w:r>
            <w:proofErr w:type="spellStart"/>
            <w:r w:rsidRPr="00DD0871">
              <w:rPr>
                <w:rFonts w:ascii="Times New Roman" w:eastAsia="Times New Roman" w:hAnsi="Times New Roman" w:cs="Times New Roman"/>
                <w:sz w:val="24"/>
                <w:szCs w:val="24"/>
              </w:rPr>
              <w:t>PiMZ</w:t>
            </w:r>
            <w:proofErr w:type="spellEnd"/>
            <w:r w:rsidRPr="00DD0871">
              <w:rPr>
                <w:rFonts w:ascii="Times New Roman" w:eastAsia="Times New Roman" w:hAnsi="Times New Roman" w:cs="Times New Roman"/>
                <w:sz w:val="24"/>
                <w:szCs w:val="24"/>
              </w:rPr>
              <w:t xml:space="preserve"> or </w:t>
            </w:r>
            <w:proofErr w:type="spellStart"/>
            <w:r w:rsidRPr="00DD0871">
              <w:rPr>
                <w:rFonts w:ascii="Times New Roman" w:eastAsia="Times New Roman" w:hAnsi="Times New Roman" w:cs="Times New Roman"/>
                <w:sz w:val="24"/>
                <w:szCs w:val="24"/>
              </w:rPr>
              <w:t>PiSZ</w:t>
            </w:r>
            <w:proofErr w:type="spellEnd"/>
            <w:r w:rsidRPr="00DD0871">
              <w:rPr>
                <w:rFonts w:ascii="Times New Roman" w:eastAsia="Times New Roman" w:hAnsi="Times New Roman" w:cs="Times New Roman"/>
                <w:sz w:val="24"/>
                <w:szCs w:val="24"/>
              </w:rPr>
              <w:t xml:space="preserve">, but the relationship of these genotypes to liver disease is uncertain. No specific treatment is available; the concurrent risk of severe and early-onset emphysema means that all patients should be advised to abandon cigarette smoking. </w:t>
            </w:r>
          </w:p>
        </w:tc>
      </w:tr>
    </w:tbl>
    <w:p w:rsidR="00DD0871" w:rsidRPr="00DD0871" w:rsidRDefault="00DD0871" w:rsidP="00DD0871">
      <w:pPr>
        <w:spacing w:after="0" w:line="240" w:lineRule="auto"/>
        <w:rPr>
          <w:rFonts w:ascii="Times New Roman" w:eastAsia="Times New Roman" w:hAnsi="Times New Roman" w:cs="Times New Roman"/>
          <w:vanish/>
          <w:sz w:val="24"/>
          <w:szCs w:val="24"/>
        </w:rPr>
      </w:pPr>
    </w:p>
    <w:tbl>
      <w:tblPr>
        <w:tblW w:w="5043" w:type="pct"/>
        <w:tblCellSpacing w:w="0" w:type="dxa"/>
        <w:tblInd w:w="-75" w:type="dxa"/>
        <w:tblCellMar>
          <w:left w:w="0" w:type="dxa"/>
          <w:right w:w="0" w:type="dxa"/>
        </w:tblCellMar>
        <w:tblLook w:val="04A0"/>
      </w:tblPr>
      <w:tblGrid>
        <w:gridCol w:w="642"/>
        <w:gridCol w:w="119"/>
        <w:gridCol w:w="6987"/>
        <w:gridCol w:w="966"/>
      </w:tblGrid>
      <w:tr w:rsidR="00DD0871" w:rsidRPr="00DD0871" w:rsidTr="00DD0871">
        <w:trPr>
          <w:tblCellSpacing w:w="0" w:type="dxa"/>
        </w:trPr>
        <w:tc>
          <w:tcPr>
            <w:tcW w:w="329" w:type="dxa"/>
            <w:vAlign w:val="center"/>
            <w:hideMark/>
          </w:tcPr>
          <w:p w:rsidR="00DD0871" w:rsidRPr="00DD0871" w:rsidRDefault="00DD0871" w:rsidP="00DD0871">
            <w:pPr>
              <w:spacing w:after="0" w:line="240" w:lineRule="auto"/>
              <w:rPr>
                <w:rFonts w:ascii="Times New Roman" w:eastAsia="Times New Roman" w:hAnsi="Times New Roman" w:cs="Times New Roman"/>
                <w:sz w:val="24"/>
                <w:szCs w:val="24"/>
              </w:rPr>
            </w:pPr>
            <w:hyperlink r:id="rId12" w:tgtFrame="content" w:history="1">
              <w:r w:rsidRPr="00DD0871">
                <w:rPr>
                  <w:rFonts w:ascii="Times New Roman" w:eastAsia="Times New Roman" w:hAnsi="Times New Roman" w:cs="Times New Roman"/>
                  <w:color w:val="0000FF"/>
                  <w:sz w:val="24"/>
                  <w:szCs w:val="24"/>
                </w:rPr>
                <w:pict>
                  <v:shape id="_x0000_i1028" type="#_x0000_t75" alt="Previous section" href="mk:@MSITStore:C:\aDavidson's%20Principles%20&amp;%20Practice%20of%20Medicine%2020th.2007.Ed.CHM::/www.studentconsult.com/content/bookcontent.cfm@id=hc023192.htm" target="content" style="width:16.5pt;height:12.5pt" o:button="t"/>
                </w:pict>
              </w:r>
            </w:hyperlink>
          </w:p>
        </w:tc>
        <w:tc>
          <w:tcPr>
            <w:tcW w:w="61" w:type="dxa"/>
            <w:vAlign w:val="center"/>
            <w:hideMark/>
          </w:tcPr>
          <w:p w:rsidR="00DD0871" w:rsidRPr="00DD0871" w:rsidRDefault="00DD0871" w:rsidP="00DD0871">
            <w:pPr>
              <w:spacing w:after="0" w:line="240" w:lineRule="auto"/>
              <w:rPr>
                <w:rFonts w:ascii="Times New Roman" w:eastAsia="Times New Roman" w:hAnsi="Times New Roman" w:cs="Times New Roman"/>
                <w:sz w:val="24"/>
                <w:szCs w:val="24"/>
              </w:rPr>
            </w:pPr>
            <w:r w:rsidRPr="00DD0871">
              <w:rPr>
                <w:rFonts w:ascii="Times New Roman" w:eastAsia="Times New Roman" w:hAnsi="Times New Roman" w:cs="Times New Roman"/>
                <w:sz w:val="24"/>
                <w:szCs w:val="24"/>
              </w:rPr>
              <w:pict>
                <v:shape id="_x0000_i1029" type="#_x0000_t75" alt="" style="width:3pt;height:.5pt"/>
              </w:pict>
            </w:r>
          </w:p>
        </w:tc>
        <w:tc>
          <w:tcPr>
            <w:tcW w:w="0" w:type="auto"/>
            <w:gridSpan w:val="2"/>
            <w:vAlign w:val="center"/>
            <w:hideMark/>
          </w:tcPr>
          <w:tbl>
            <w:tblPr>
              <w:tblW w:w="5000" w:type="pct"/>
              <w:tblCellSpacing w:w="0" w:type="dxa"/>
              <w:tblCellMar>
                <w:left w:w="0" w:type="dxa"/>
                <w:right w:w="0" w:type="dxa"/>
              </w:tblCellMar>
              <w:tblLook w:val="04A0"/>
            </w:tblPr>
            <w:tblGrid>
              <w:gridCol w:w="74"/>
              <w:gridCol w:w="7805"/>
              <w:gridCol w:w="74"/>
            </w:tblGrid>
            <w:tr w:rsidR="00DD0871" w:rsidRPr="00DD0871">
              <w:trPr>
                <w:tblCellSpacing w:w="0" w:type="dxa"/>
              </w:trPr>
              <w:tc>
                <w:tcPr>
                  <w:tcW w:w="75" w:type="dxa"/>
                  <w:vMerge w:val="restart"/>
                  <w:vAlign w:val="center"/>
                  <w:hideMark/>
                </w:tcPr>
                <w:p w:rsidR="00DD0871" w:rsidRPr="00DD0871" w:rsidRDefault="00DD0871" w:rsidP="00DD0871">
                  <w:pPr>
                    <w:spacing w:after="0" w:line="240" w:lineRule="auto"/>
                    <w:rPr>
                      <w:rFonts w:ascii="Times New Roman" w:eastAsia="Times New Roman" w:hAnsi="Times New Roman" w:cs="Times New Roman"/>
                      <w:sz w:val="24"/>
                      <w:szCs w:val="24"/>
                    </w:rPr>
                  </w:pPr>
                  <w:r w:rsidRPr="00DD0871">
                    <w:rPr>
                      <w:rFonts w:ascii="Times New Roman" w:eastAsia="Times New Roman" w:hAnsi="Times New Roman" w:cs="Times New Roman"/>
                      <w:sz w:val="24"/>
                      <w:szCs w:val="24"/>
                    </w:rPr>
                    <w:pict>
                      <v:shape id="_x0000_i1030" type="#_x0000_t75" alt="Bar end" style="width:3.5pt;height:12.5pt"/>
                    </w:pict>
                  </w:r>
                </w:p>
              </w:tc>
              <w:tc>
                <w:tcPr>
                  <w:tcW w:w="5000" w:type="pct"/>
                  <w:vAlign w:val="center"/>
                  <w:hideMark/>
                </w:tcPr>
                <w:p w:rsidR="00DD0871" w:rsidRPr="00DD0871" w:rsidRDefault="00DD0871" w:rsidP="00DD0871">
                  <w:pPr>
                    <w:spacing w:after="0" w:line="240" w:lineRule="auto"/>
                    <w:rPr>
                      <w:rFonts w:ascii="Times New Roman" w:eastAsia="Times New Roman" w:hAnsi="Times New Roman" w:cs="Times New Roman"/>
                      <w:sz w:val="24"/>
                      <w:szCs w:val="24"/>
                    </w:rPr>
                  </w:pPr>
                  <w:r w:rsidRPr="00DD0871">
                    <w:rPr>
                      <w:rFonts w:ascii="Times New Roman" w:eastAsia="Times New Roman" w:hAnsi="Times New Roman" w:cs="Times New Roman"/>
                      <w:sz w:val="24"/>
                      <w:szCs w:val="24"/>
                    </w:rPr>
                    <w:pict>
                      <v:shape id="_x0000_i1031" type="#_x0000_t75" alt="" style="width:.5pt;height:.5pt"/>
                    </w:pict>
                  </w:r>
                </w:p>
              </w:tc>
              <w:tc>
                <w:tcPr>
                  <w:tcW w:w="75" w:type="dxa"/>
                  <w:vMerge w:val="restart"/>
                  <w:vAlign w:val="center"/>
                  <w:hideMark/>
                </w:tcPr>
                <w:p w:rsidR="00DD0871" w:rsidRPr="00DD0871" w:rsidRDefault="00DD0871" w:rsidP="00DD0871">
                  <w:pPr>
                    <w:spacing w:after="0" w:line="240" w:lineRule="auto"/>
                    <w:rPr>
                      <w:rFonts w:ascii="Times New Roman" w:eastAsia="Times New Roman" w:hAnsi="Times New Roman" w:cs="Times New Roman"/>
                      <w:sz w:val="24"/>
                      <w:szCs w:val="24"/>
                    </w:rPr>
                  </w:pPr>
                  <w:r w:rsidRPr="00DD0871">
                    <w:rPr>
                      <w:rFonts w:ascii="Times New Roman" w:eastAsia="Times New Roman" w:hAnsi="Times New Roman" w:cs="Times New Roman"/>
                      <w:sz w:val="24"/>
                      <w:szCs w:val="24"/>
                    </w:rPr>
                    <w:pict>
                      <v:shape id="_x0000_i1032" type="#_x0000_t75" alt="Bar end" style="width:3.5pt;height:12.5pt"/>
                    </w:pict>
                  </w:r>
                </w:p>
              </w:tc>
            </w:tr>
            <w:tr w:rsidR="00DD0871" w:rsidRPr="00DD0871">
              <w:trPr>
                <w:tblCellSpacing w:w="0" w:type="dxa"/>
              </w:trPr>
              <w:tc>
                <w:tcPr>
                  <w:tcW w:w="0" w:type="auto"/>
                  <w:vMerge/>
                  <w:vAlign w:val="center"/>
                  <w:hideMark/>
                </w:tcPr>
                <w:p w:rsidR="00DD0871" w:rsidRPr="00DD0871" w:rsidRDefault="00DD0871" w:rsidP="00DD0871">
                  <w:pPr>
                    <w:spacing w:after="0" w:line="240" w:lineRule="auto"/>
                    <w:rPr>
                      <w:rFonts w:ascii="Times New Roman" w:eastAsia="Times New Roman" w:hAnsi="Times New Roman" w:cs="Times New Roman"/>
                      <w:sz w:val="24"/>
                      <w:szCs w:val="24"/>
                    </w:rPr>
                  </w:pPr>
                </w:p>
              </w:tc>
              <w:tc>
                <w:tcPr>
                  <w:tcW w:w="0" w:type="auto"/>
                  <w:vAlign w:val="center"/>
                  <w:hideMark/>
                </w:tcPr>
                <w:p w:rsidR="00DD0871" w:rsidRPr="00DD0871" w:rsidRDefault="00DD0871" w:rsidP="00DD0871">
                  <w:pPr>
                    <w:spacing w:after="0" w:line="240" w:lineRule="auto"/>
                    <w:rPr>
                      <w:rFonts w:ascii="Times New Roman" w:eastAsia="Times New Roman" w:hAnsi="Times New Roman" w:cs="Times New Roman"/>
                      <w:sz w:val="24"/>
                      <w:szCs w:val="24"/>
                    </w:rPr>
                  </w:pPr>
                </w:p>
              </w:tc>
              <w:tc>
                <w:tcPr>
                  <w:tcW w:w="0" w:type="auto"/>
                  <w:vMerge/>
                  <w:vAlign w:val="center"/>
                  <w:hideMark/>
                </w:tcPr>
                <w:p w:rsidR="00DD0871" w:rsidRPr="00DD0871" w:rsidRDefault="00DD0871" w:rsidP="00DD0871">
                  <w:pPr>
                    <w:spacing w:after="0" w:line="240" w:lineRule="auto"/>
                    <w:rPr>
                      <w:rFonts w:ascii="Times New Roman" w:eastAsia="Times New Roman" w:hAnsi="Times New Roman" w:cs="Times New Roman"/>
                      <w:sz w:val="24"/>
                      <w:szCs w:val="24"/>
                    </w:rPr>
                  </w:pPr>
                </w:p>
              </w:tc>
            </w:tr>
          </w:tbl>
          <w:p w:rsidR="00DD0871" w:rsidRPr="00DD0871" w:rsidRDefault="00DD0871" w:rsidP="00DD0871">
            <w:pPr>
              <w:spacing w:after="0" w:line="240" w:lineRule="auto"/>
              <w:rPr>
                <w:rFonts w:ascii="Times New Roman" w:eastAsia="Times New Roman" w:hAnsi="Times New Roman" w:cs="Times New Roman"/>
                <w:sz w:val="24"/>
                <w:szCs w:val="24"/>
              </w:rPr>
            </w:pPr>
          </w:p>
        </w:tc>
      </w:tr>
      <w:tr w:rsidR="00DD0871" w:rsidRPr="00DD0871" w:rsidTr="00DD0871">
        <w:tblPrEx>
          <w:tblCellMar>
            <w:top w:w="75" w:type="dxa"/>
            <w:left w:w="75" w:type="dxa"/>
            <w:bottom w:w="75" w:type="dxa"/>
            <w:right w:w="75" w:type="dxa"/>
          </w:tblCellMar>
        </w:tblPrEx>
        <w:trPr>
          <w:gridAfter w:val="1"/>
          <w:tblCellSpacing w:w="0" w:type="dxa"/>
        </w:trPr>
        <w:tc>
          <w:tcPr>
            <w:tcW w:w="0" w:type="auto"/>
            <w:gridSpan w:val="3"/>
            <w:vAlign w:val="center"/>
            <w:hideMark/>
          </w:tcPr>
          <w:tbl>
            <w:tblPr>
              <w:tblW w:w="5000" w:type="pct"/>
              <w:tblCellSpacing w:w="0" w:type="dxa"/>
              <w:tblCellMar>
                <w:left w:w="0" w:type="dxa"/>
                <w:right w:w="0" w:type="dxa"/>
              </w:tblCellMar>
              <w:tblLook w:val="04A0"/>
            </w:tblPr>
            <w:tblGrid>
              <w:gridCol w:w="7598"/>
            </w:tblGrid>
            <w:tr w:rsidR="00DD0871" w:rsidRPr="00DD0871">
              <w:trPr>
                <w:tblCellSpacing w:w="0" w:type="dxa"/>
              </w:trPr>
              <w:tc>
                <w:tcPr>
                  <w:tcW w:w="5000" w:type="pct"/>
                  <w:shd w:val="clear" w:color="auto" w:fill="FFFFFF"/>
                  <w:vAlign w:val="center"/>
                  <w:hideMark/>
                </w:tcPr>
                <w:p w:rsidR="00DD0871" w:rsidRPr="00DD0871" w:rsidRDefault="00DD0871" w:rsidP="00DD0871">
                  <w:pPr>
                    <w:spacing w:after="0" w:line="240" w:lineRule="auto"/>
                    <w:rPr>
                      <w:rFonts w:ascii="Times New Roman" w:eastAsia="Times New Roman" w:hAnsi="Times New Roman" w:cs="Times New Roman"/>
                      <w:color w:val="FF0000"/>
                      <w:sz w:val="24"/>
                      <w:szCs w:val="24"/>
                    </w:rPr>
                  </w:pPr>
                  <w:bookmarkStart w:id="56" w:name="HC023203"/>
                  <w:bookmarkEnd w:id="56"/>
                  <w:r w:rsidRPr="00DD0871">
                    <w:rPr>
                      <w:rFonts w:ascii="Times New Roman" w:eastAsia="Times New Roman" w:hAnsi="Times New Roman" w:cs="Times New Roman"/>
                      <w:color w:val="FF0000"/>
                      <w:sz w:val="24"/>
                      <w:szCs w:val="24"/>
                    </w:rPr>
                    <w:t xml:space="preserve">AUTOIMMUNE LIVER DISEASES </w:t>
                  </w:r>
                </w:p>
              </w:tc>
            </w:tr>
          </w:tbl>
          <w:p w:rsidR="00DD0871" w:rsidRPr="00DD0871" w:rsidRDefault="00DD0871" w:rsidP="00DD0871">
            <w:pPr>
              <w:spacing w:after="0" w:line="240" w:lineRule="auto"/>
              <w:rPr>
                <w:rFonts w:ascii="Times New Roman" w:eastAsia="Times New Roman" w:hAnsi="Times New Roman" w:cs="Times New Roman"/>
                <w:vanish/>
                <w:color w:val="FF0000"/>
                <w:sz w:val="24"/>
                <w:szCs w:val="24"/>
              </w:rPr>
            </w:pPr>
          </w:p>
          <w:tbl>
            <w:tblPr>
              <w:tblW w:w="5000" w:type="pct"/>
              <w:tblCellSpacing w:w="0" w:type="dxa"/>
              <w:tblCellMar>
                <w:left w:w="0" w:type="dxa"/>
                <w:right w:w="0" w:type="dxa"/>
              </w:tblCellMar>
              <w:tblLook w:val="04A0"/>
            </w:tblPr>
            <w:tblGrid>
              <w:gridCol w:w="7598"/>
            </w:tblGrid>
            <w:tr w:rsidR="00DD0871" w:rsidRPr="00DD0871">
              <w:trPr>
                <w:tblCellSpacing w:w="0" w:type="dxa"/>
              </w:trPr>
              <w:tc>
                <w:tcPr>
                  <w:tcW w:w="5000" w:type="pct"/>
                  <w:shd w:val="clear" w:color="auto" w:fill="FFFFFF"/>
                  <w:vAlign w:val="center"/>
                  <w:hideMark/>
                </w:tcPr>
                <w:p w:rsidR="00DD0871" w:rsidRPr="00DD0871" w:rsidRDefault="00DD0871" w:rsidP="00DD0871">
                  <w:pPr>
                    <w:spacing w:after="0" w:line="240" w:lineRule="auto"/>
                    <w:rPr>
                      <w:rFonts w:ascii="Times New Roman" w:eastAsia="Times New Roman" w:hAnsi="Times New Roman" w:cs="Times New Roman"/>
                      <w:color w:val="FF0000"/>
                      <w:sz w:val="24"/>
                      <w:szCs w:val="24"/>
                    </w:rPr>
                  </w:pPr>
                  <w:bookmarkStart w:id="57" w:name="HC023204"/>
                  <w:bookmarkEnd w:id="57"/>
                  <w:r w:rsidRPr="00DD0871">
                    <w:rPr>
                      <w:rFonts w:ascii="Times New Roman" w:eastAsia="Times New Roman" w:hAnsi="Times New Roman" w:cs="Times New Roman"/>
                      <w:color w:val="FF0000"/>
                      <w:sz w:val="24"/>
                      <w:szCs w:val="24"/>
                    </w:rPr>
                    <w:t xml:space="preserve">AUTOIMMUNE HEPATITIS </w:t>
                  </w:r>
                </w:p>
              </w:tc>
            </w:tr>
          </w:tbl>
          <w:p w:rsidR="00DD0871" w:rsidRPr="00DD0871" w:rsidRDefault="00DD0871" w:rsidP="00DD0871">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7598"/>
            </w:tblGrid>
            <w:tr w:rsidR="00DD0871" w:rsidRPr="00DD0871">
              <w:trPr>
                <w:tblCellSpacing w:w="0" w:type="dxa"/>
              </w:trPr>
              <w:tc>
                <w:tcPr>
                  <w:tcW w:w="5000" w:type="pct"/>
                  <w:shd w:val="clear" w:color="auto" w:fill="FFFFFF"/>
                  <w:vAlign w:val="center"/>
                  <w:hideMark/>
                </w:tcPr>
                <w:p w:rsidR="00DD0871" w:rsidRPr="00DD0871" w:rsidRDefault="00DD0871" w:rsidP="00DD0871">
                  <w:pPr>
                    <w:spacing w:after="0" w:line="240" w:lineRule="auto"/>
                    <w:rPr>
                      <w:rFonts w:ascii="Times New Roman" w:eastAsia="Times New Roman" w:hAnsi="Times New Roman" w:cs="Times New Roman"/>
                      <w:sz w:val="24"/>
                      <w:szCs w:val="24"/>
                    </w:rPr>
                  </w:pPr>
                  <w:bookmarkStart w:id="58" w:name="P023336"/>
                  <w:bookmarkEnd w:id="58"/>
                  <w:r w:rsidRPr="00DD0871">
                    <w:rPr>
                      <w:rFonts w:ascii="Times New Roman" w:eastAsia="Times New Roman" w:hAnsi="Times New Roman" w:cs="Times New Roman"/>
                      <w:sz w:val="24"/>
                      <w:szCs w:val="24"/>
                    </w:rPr>
                    <w:t xml:space="preserve">Autoimmune hepatitis is a liver disease of unknown </w:t>
                  </w:r>
                  <w:proofErr w:type="spellStart"/>
                  <w:r w:rsidRPr="00DD0871">
                    <w:rPr>
                      <w:rFonts w:ascii="Times New Roman" w:eastAsia="Times New Roman" w:hAnsi="Times New Roman" w:cs="Times New Roman"/>
                      <w:sz w:val="24"/>
                      <w:szCs w:val="24"/>
                    </w:rPr>
                    <w:t>aetiology</w:t>
                  </w:r>
                  <w:proofErr w:type="spellEnd"/>
                  <w:r w:rsidRPr="00DD0871">
                    <w:rPr>
                      <w:rFonts w:ascii="Times New Roman" w:eastAsia="Times New Roman" w:hAnsi="Times New Roman" w:cs="Times New Roman"/>
                      <w:sz w:val="24"/>
                      <w:szCs w:val="24"/>
                    </w:rPr>
                    <w:t xml:space="preserve"> </w:t>
                  </w:r>
                  <w:proofErr w:type="spellStart"/>
                  <w:r w:rsidRPr="00DD0871">
                    <w:rPr>
                      <w:rFonts w:ascii="Times New Roman" w:eastAsia="Times New Roman" w:hAnsi="Times New Roman" w:cs="Times New Roman"/>
                      <w:sz w:val="24"/>
                      <w:szCs w:val="24"/>
                    </w:rPr>
                    <w:t>characterised</w:t>
                  </w:r>
                  <w:proofErr w:type="spellEnd"/>
                  <w:r w:rsidRPr="00DD0871">
                    <w:rPr>
                      <w:rFonts w:ascii="Times New Roman" w:eastAsia="Times New Roman" w:hAnsi="Times New Roman" w:cs="Times New Roman"/>
                      <w:sz w:val="24"/>
                      <w:szCs w:val="24"/>
                    </w:rPr>
                    <w:t xml:space="preserve"> by a strong association with other autoimmune diseases (</w:t>
                  </w:r>
                  <w:hyperlink r:id="rId13" w:anchor="B023054" w:tooltip="Go here now" w:history="1">
                    <w:r w:rsidRPr="00DD0871">
                      <w:rPr>
                        <w:rFonts w:ascii="Times New Roman" w:eastAsia="Times New Roman" w:hAnsi="Times New Roman" w:cs="Times New Roman"/>
                        <w:color w:val="0000FF"/>
                        <w:sz w:val="24"/>
                        <w:szCs w:val="24"/>
                        <w:u w:val="single"/>
                      </w:rPr>
                      <w:t>Box 23.54</w:t>
                    </w:r>
                  </w:hyperlink>
                  <w:r w:rsidRPr="00DD0871">
                    <w:rPr>
                      <w:rFonts w:ascii="Times New Roman" w:eastAsia="Times New Roman" w:hAnsi="Times New Roman" w:cs="Times New Roman"/>
                      <w:sz w:val="24"/>
                      <w:szCs w:val="24"/>
                    </w:rPr>
                    <w:t xml:space="preserve">), high levels of serum </w:t>
                  </w:r>
                  <w:proofErr w:type="spellStart"/>
                  <w:r w:rsidRPr="00DD0871">
                    <w:rPr>
                      <w:rFonts w:ascii="Times New Roman" w:eastAsia="Times New Roman" w:hAnsi="Times New Roman" w:cs="Times New Roman"/>
                      <w:sz w:val="24"/>
                      <w:szCs w:val="24"/>
                    </w:rPr>
                    <w:t>immunoglobulins</w:t>
                  </w:r>
                  <w:proofErr w:type="spellEnd"/>
                  <w:r w:rsidRPr="00DD0871">
                    <w:rPr>
                      <w:rFonts w:ascii="Times New Roman" w:eastAsia="Times New Roman" w:hAnsi="Times New Roman" w:cs="Times New Roman"/>
                      <w:sz w:val="24"/>
                      <w:szCs w:val="24"/>
                    </w:rPr>
                    <w:t xml:space="preserve"> (</w:t>
                  </w:r>
                  <w:proofErr w:type="spellStart"/>
                  <w:r w:rsidRPr="00DD0871">
                    <w:rPr>
                      <w:rFonts w:ascii="Times New Roman" w:eastAsia="Times New Roman" w:hAnsi="Times New Roman" w:cs="Times New Roman"/>
                      <w:sz w:val="24"/>
                      <w:szCs w:val="24"/>
                    </w:rPr>
                    <w:t>hypergammaglobulinaemia</w:t>
                  </w:r>
                  <w:proofErr w:type="spellEnd"/>
                  <w:r w:rsidRPr="00DD0871">
                    <w:rPr>
                      <w:rFonts w:ascii="Times New Roman" w:eastAsia="Times New Roman" w:hAnsi="Times New Roman" w:cs="Times New Roman"/>
                      <w:sz w:val="24"/>
                      <w:szCs w:val="24"/>
                    </w:rPr>
                    <w:t xml:space="preserve">) and </w:t>
                  </w:r>
                  <w:proofErr w:type="spellStart"/>
                  <w:r w:rsidRPr="00DD0871">
                    <w:rPr>
                      <w:rFonts w:ascii="Times New Roman" w:eastAsia="Times New Roman" w:hAnsi="Times New Roman" w:cs="Times New Roman"/>
                      <w:sz w:val="24"/>
                      <w:szCs w:val="24"/>
                    </w:rPr>
                    <w:t>autoantibodies</w:t>
                  </w:r>
                  <w:proofErr w:type="spellEnd"/>
                  <w:r w:rsidRPr="00DD0871">
                    <w:rPr>
                      <w:rFonts w:ascii="Times New Roman" w:eastAsia="Times New Roman" w:hAnsi="Times New Roman" w:cs="Times New Roman"/>
                      <w:sz w:val="24"/>
                      <w:szCs w:val="24"/>
                    </w:rPr>
                    <w:t xml:space="preserve"> in the serum. It occurs most often in women, particularly in the second and third decades of life, but may develop in either sex at any age </w:t>
                  </w:r>
                </w:p>
              </w:tc>
            </w:tr>
          </w:tbl>
          <w:p w:rsidR="00DD0871" w:rsidRPr="00DD0871" w:rsidRDefault="00DD0871" w:rsidP="00DD0871">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7598"/>
            </w:tblGrid>
            <w:tr w:rsidR="00DD0871" w:rsidRPr="00DD0871">
              <w:trPr>
                <w:tblCellSpacing w:w="0" w:type="dxa"/>
              </w:trPr>
              <w:tc>
                <w:tcPr>
                  <w:tcW w:w="5000" w:type="pct"/>
                  <w:shd w:val="clear" w:color="auto" w:fill="FFFFFF"/>
                  <w:vAlign w:val="center"/>
                  <w:hideMark/>
                </w:tcPr>
                <w:p w:rsidR="00DD0871" w:rsidRPr="00DD0871" w:rsidRDefault="00DD0871" w:rsidP="00DD0871">
                  <w:pPr>
                    <w:spacing w:after="0" w:line="240" w:lineRule="auto"/>
                    <w:rPr>
                      <w:rFonts w:ascii="Times New Roman" w:eastAsia="Times New Roman" w:hAnsi="Times New Roman" w:cs="Times New Roman"/>
                      <w:sz w:val="24"/>
                      <w:szCs w:val="24"/>
                    </w:rPr>
                  </w:pPr>
                  <w:bookmarkStart w:id="59" w:name="HC023206"/>
                  <w:bookmarkEnd w:id="59"/>
                  <w:proofErr w:type="spellStart"/>
                  <w:r w:rsidRPr="00DD0871">
                    <w:rPr>
                      <w:rFonts w:ascii="Times New Roman" w:eastAsia="Times New Roman" w:hAnsi="Times New Roman" w:cs="Times New Roman"/>
                      <w:sz w:val="24"/>
                      <w:szCs w:val="24"/>
                    </w:rPr>
                    <w:t>Aetiology</w:t>
                  </w:r>
                  <w:proofErr w:type="spellEnd"/>
                  <w:r w:rsidRPr="00DD0871">
                    <w:rPr>
                      <w:rFonts w:ascii="Times New Roman" w:eastAsia="Times New Roman" w:hAnsi="Times New Roman" w:cs="Times New Roman"/>
                      <w:sz w:val="24"/>
                      <w:szCs w:val="24"/>
                    </w:rPr>
                    <w:t xml:space="preserve"> and pathology </w:t>
                  </w:r>
                </w:p>
              </w:tc>
            </w:tr>
          </w:tbl>
          <w:p w:rsidR="00DD0871" w:rsidRPr="00DD0871" w:rsidRDefault="00DD0871" w:rsidP="00DD0871">
            <w:pPr>
              <w:spacing w:after="0" w:line="240" w:lineRule="auto"/>
              <w:rPr>
                <w:rFonts w:ascii="Times New Roman" w:eastAsia="Times New Roman" w:hAnsi="Times New Roman" w:cs="Times New Roman"/>
                <w:vanish/>
                <w:sz w:val="24"/>
                <w:szCs w:val="24"/>
              </w:rPr>
            </w:pPr>
          </w:p>
          <w:tbl>
            <w:tblPr>
              <w:tblW w:w="4000" w:type="pct"/>
              <w:jc w:val="center"/>
              <w:tblCellSpacing w:w="0" w:type="dxa"/>
              <w:tblCellMar>
                <w:left w:w="0" w:type="dxa"/>
                <w:right w:w="0" w:type="dxa"/>
              </w:tblCellMar>
              <w:tblLook w:val="04A0"/>
            </w:tblPr>
            <w:tblGrid>
              <w:gridCol w:w="6078"/>
            </w:tblGrid>
            <w:tr w:rsidR="00DD0871" w:rsidRPr="00DD0871">
              <w:trPr>
                <w:tblCellSpacing w:w="0" w:type="dxa"/>
                <w:jc w:val="center"/>
              </w:trPr>
              <w:tc>
                <w:tcPr>
                  <w:tcW w:w="5000" w:type="pct"/>
                  <w:vAlign w:val="center"/>
                  <w:hideMark/>
                </w:tcPr>
                <w:p w:rsidR="00DD0871" w:rsidRPr="00DD0871" w:rsidRDefault="00DD0871" w:rsidP="00DD0871">
                  <w:pPr>
                    <w:spacing w:after="0" w:line="240" w:lineRule="auto"/>
                    <w:rPr>
                      <w:rFonts w:ascii="Times New Roman" w:eastAsia="Times New Roman" w:hAnsi="Times New Roman" w:cs="Times New Roman"/>
                      <w:sz w:val="24"/>
                      <w:szCs w:val="24"/>
                    </w:rPr>
                  </w:pPr>
                  <w:bookmarkStart w:id="60" w:name="B023054"/>
                  <w:bookmarkEnd w:id="60"/>
                  <w:r w:rsidRPr="00DD0871">
                    <w:rPr>
                      <w:rFonts w:ascii="Times New Roman" w:eastAsia="Times New Roman" w:hAnsi="Times New Roman" w:cs="Times New Roman"/>
                      <w:sz w:val="24"/>
                      <w:szCs w:val="24"/>
                    </w:rPr>
                    <w:t>23.54 CONDITIONS ASSOCIATED WITH AUTOIMMUNE HEPATITIS</w:t>
                  </w:r>
                </w:p>
              </w:tc>
            </w:tr>
          </w:tbl>
          <w:p w:rsidR="00DD0871" w:rsidRPr="00DD0871" w:rsidRDefault="00DD0871" w:rsidP="00DD0871">
            <w:pPr>
              <w:spacing w:after="0" w:line="240" w:lineRule="auto"/>
              <w:rPr>
                <w:rFonts w:ascii="Times New Roman" w:eastAsia="Times New Roman" w:hAnsi="Times New Roman" w:cs="Times New Roman"/>
                <w:vanish/>
                <w:sz w:val="24"/>
                <w:szCs w:val="24"/>
              </w:rPr>
            </w:pPr>
          </w:p>
          <w:tbl>
            <w:tblPr>
              <w:tblW w:w="4000" w:type="pct"/>
              <w:jc w:val="center"/>
              <w:tblCellSpacing w:w="0" w:type="dxa"/>
              <w:tblCellMar>
                <w:left w:w="0" w:type="dxa"/>
                <w:right w:w="0" w:type="dxa"/>
              </w:tblCellMar>
              <w:tblLook w:val="04A0"/>
            </w:tblPr>
            <w:tblGrid>
              <w:gridCol w:w="6078"/>
            </w:tblGrid>
            <w:tr w:rsidR="00DD0871" w:rsidRPr="00DD0871">
              <w:trPr>
                <w:tblCellSpacing w:w="0" w:type="dxa"/>
                <w:jc w:val="center"/>
              </w:trPr>
              <w:tc>
                <w:tcPr>
                  <w:tcW w:w="5000" w:type="pct"/>
                  <w:vAlign w:val="center"/>
                  <w:hideMark/>
                </w:tcPr>
                <w:p w:rsidR="00DD0871" w:rsidRPr="00DD0871" w:rsidRDefault="00DD0871" w:rsidP="00DD0871">
                  <w:pPr>
                    <w:numPr>
                      <w:ilvl w:val="0"/>
                      <w:numId w:val="4"/>
                    </w:numPr>
                    <w:spacing w:before="100" w:beforeAutospacing="1" w:after="100" w:afterAutospacing="1" w:line="240" w:lineRule="auto"/>
                    <w:rPr>
                      <w:rFonts w:ascii="Times New Roman" w:eastAsia="Times New Roman" w:hAnsi="Times New Roman" w:cs="Times New Roman"/>
                      <w:sz w:val="24"/>
                      <w:szCs w:val="24"/>
                    </w:rPr>
                  </w:pPr>
                  <w:bookmarkStart w:id="61" w:name="PB23015"/>
                  <w:bookmarkEnd w:id="61"/>
                  <w:r w:rsidRPr="00DD0871">
                    <w:rPr>
                      <w:rFonts w:ascii="Times New Roman" w:eastAsia="Times New Roman" w:hAnsi="Times New Roman" w:cs="Times New Roman"/>
                      <w:sz w:val="24"/>
                      <w:szCs w:val="24"/>
                    </w:rPr>
                    <w:t xml:space="preserve">Migrating </w:t>
                  </w:r>
                  <w:proofErr w:type="spellStart"/>
                  <w:r w:rsidRPr="00DD0871">
                    <w:rPr>
                      <w:rFonts w:ascii="Times New Roman" w:eastAsia="Times New Roman" w:hAnsi="Times New Roman" w:cs="Times New Roman"/>
                      <w:sz w:val="24"/>
                      <w:szCs w:val="24"/>
                    </w:rPr>
                    <w:t>polyarthritis</w:t>
                  </w:r>
                  <w:proofErr w:type="spellEnd"/>
                  <w:r w:rsidRPr="00DD0871">
                    <w:rPr>
                      <w:rFonts w:ascii="Times New Roman" w:eastAsia="Times New Roman" w:hAnsi="Times New Roman" w:cs="Times New Roman"/>
                      <w:sz w:val="24"/>
                      <w:szCs w:val="24"/>
                    </w:rPr>
                    <w:t xml:space="preserve"> </w:t>
                  </w:r>
                </w:p>
                <w:p w:rsidR="00DD0871" w:rsidRPr="00DD0871" w:rsidRDefault="00DD0871" w:rsidP="00DD0871">
                  <w:pPr>
                    <w:numPr>
                      <w:ilvl w:val="0"/>
                      <w:numId w:val="4"/>
                    </w:numPr>
                    <w:spacing w:before="100" w:beforeAutospacing="1" w:after="100" w:afterAutospacing="1" w:line="240" w:lineRule="auto"/>
                    <w:rPr>
                      <w:rFonts w:ascii="Times New Roman" w:eastAsia="Times New Roman" w:hAnsi="Times New Roman" w:cs="Times New Roman"/>
                      <w:sz w:val="24"/>
                      <w:szCs w:val="24"/>
                    </w:rPr>
                  </w:pPr>
                  <w:proofErr w:type="spellStart"/>
                  <w:r w:rsidRPr="00DD0871">
                    <w:rPr>
                      <w:rFonts w:ascii="Times New Roman" w:eastAsia="Times New Roman" w:hAnsi="Times New Roman" w:cs="Times New Roman"/>
                      <w:sz w:val="24"/>
                      <w:szCs w:val="24"/>
                    </w:rPr>
                    <w:t>Urticarial</w:t>
                  </w:r>
                  <w:proofErr w:type="spellEnd"/>
                  <w:r w:rsidRPr="00DD0871">
                    <w:rPr>
                      <w:rFonts w:ascii="Times New Roman" w:eastAsia="Times New Roman" w:hAnsi="Times New Roman" w:cs="Times New Roman"/>
                      <w:sz w:val="24"/>
                      <w:szCs w:val="24"/>
                    </w:rPr>
                    <w:t xml:space="preserve"> rashes </w:t>
                  </w:r>
                </w:p>
                <w:p w:rsidR="00DD0871" w:rsidRPr="00DD0871" w:rsidRDefault="00DD0871" w:rsidP="00DD0871">
                  <w:pPr>
                    <w:numPr>
                      <w:ilvl w:val="0"/>
                      <w:numId w:val="4"/>
                    </w:numPr>
                    <w:spacing w:before="100" w:beforeAutospacing="1" w:after="100" w:afterAutospacing="1" w:line="240" w:lineRule="auto"/>
                    <w:rPr>
                      <w:rFonts w:ascii="Times New Roman" w:eastAsia="Times New Roman" w:hAnsi="Times New Roman" w:cs="Times New Roman"/>
                      <w:sz w:val="24"/>
                      <w:szCs w:val="24"/>
                    </w:rPr>
                  </w:pPr>
                  <w:proofErr w:type="spellStart"/>
                  <w:r w:rsidRPr="00DD0871">
                    <w:rPr>
                      <w:rFonts w:ascii="Times New Roman" w:eastAsia="Times New Roman" w:hAnsi="Times New Roman" w:cs="Times New Roman"/>
                      <w:sz w:val="24"/>
                      <w:szCs w:val="24"/>
                    </w:rPr>
                    <w:t>Lymphadenopathy</w:t>
                  </w:r>
                  <w:proofErr w:type="spellEnd"/>
                  <w:r w:rsidRPr="00DD0871">
                    <w:rPr>
                      <w:rFonts w:ascii="Times New Roman" w:eastAsia="Times New Roman" w:hAnsi="Times New Roman" w:cs="Times New Roman"/>
                      <w:sz w:val="24"/>
                      <w:szCs w:val="24"/>
                    </w:rPr>
                    <w:t xml:space="preserve"> </w:t>
                  </w:r>
                </w:p>
                <w:p w:rsidR="00DD0871" w:rsidRPr="00DD0871" w:rsidRDefault="00DD0871" w:rsidP="00DD0871">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DD0871">
                    <w:rPr>
                      <w:rFonts w:ascii="Times New Roman" w:eastAsia="Times New Roman" w:hAnsi="Times New Roman" w:cs="Times New Roman"/>
                      <w:sz w:val="24"/>
                      <w:szCs w:val="24"/>
                    </w:rPr>
                    <w:t xml:space="preserve">Hashimoto's </w:t>
                  </w:r>
                  <w:proofErr w:type="spellStart"/>
                  <w:r w:rsidRPr="00DD0871">
                    <w:rPr>
                      <w:rFonts w:ascii="Times New Roman" w:eastAsia="Times New Roman" w:hAnsi="Times New Roman" w:cs="Times New Roman"/>
                      <w:sz w:val="24"/>
                      <w:szCs w:val="24"/>
                    </w:rPr>
                    <w:t>thyroiditis</w:t>
                  </w:r>
                  <w:proofErr w:type="spellEnd"/>
                  <w:r w:rsidRPr="00DD0871">
                    <w:rPr>
                      <w:rFonts w:ascii="Times New Roman" w:eastAsia="Times New Roman" w:hAnsi="Times New Roman" w:cs="Times New Roman"/>
                      <w:sz w:val="24"/>
                      <w:szCs w:val="24"/>
                    </w:rPr>
                    <w:t xml:space="preserve"> </w:t>
                  </w:r>
                </w:p>
                <w:p w:rsidR="00DD0871" w:rsidRPr="00DD0871" w:rsidRDefault="00DD0871" w:rsidP="00DD0871">
                  <w:pPr>
                    <w:numPr>
                      <w:ilvl w:val="0"/>
                      <w:numId w:val="4"/>
                    </w:numPr>
                    <w:spacing w:before="100" w:beforeAutospacing="1" w:after="100" w:afterAutospacing="1" w:line="240" w:lineRule="auto"/>
                    <w:rPr>
                      <w:rFonts w:ascii="Times New Roman" w:eastAsia="Times New Roman" w:hAnsi="Times New Roman" w:cs="Times New Roman"/>
                      <w:sz w:val="24"/>
                      <w:szCs w:val="24"/>
                    </w:rPr>
                  </w:pPr>
                  <w:proofErr w:type="spellStart"/>
                  <w:r w:rsidRPr="00DD0871">
                    <w:rPr>
                      <w:rFonts w:ascii="Times New Roman" w:eastAsia="Times New Roman" w:hAnsi="Times New Roman" w:cs="Times New Roman"/>
                      <w:sz w:val="24"/>
                      <w:szCs w:val="24"/>
                    </w:rPr>
                    <w:t>Thyrotoxicosis</w:t>
                  </w:r>
                  <w:proofErr w:type="spellEnd"/>
                  <w:r w:rsidRPr="00DD0871">
                    <w:rPr>
                      <w:rFonts w:ascii="Times New Roman" w:eastAsia="Times New Roman" w:hAnsi="Times New Roman" w:cs="Times New Roman"/>
                      <w:sz w:val="24"/>
                      <w:szCs w:val="24"/>
                    </w:rPr>
                    <w:t xml:space="preserve"> </w:t>
                  </w:r>
                </w:p>
                <w:p w:rsidR="00DD0871" w:rsidRPr="00DD0871" w:rsidRDefault="00DD0871" w:rsidP="00DD0871">
                  <w:pPr>
                    <w:numPr>
                      <w:ilvl w:val="0"/>
                      <w:numId w:val="4"/>
                    </w:numPr>
                    <w:spacing w:before="100" w:beforeAutospacing="1" w:after="100" w:afterAutospacing="1" w:line="240" w:lineRule="auto"/>
                    <w:rPr>
                      <w:rFonts w:ascii="Times New Roman" w:eastAsia="Times New Roman" w:hAnsi="Times New Roman" w:cs="Times New Roman"/>
                      <w:sz w:val="24"/>
                      <w:szCs w:val="24"/>
                    </w:rPr>
                  </w:pPr>
                  <w:proofErr w:type="spellStart"/>
                  <w:r w:rsidRPr="00DD0871">
                    <w:rPr>
                      <w:rFonts w:ascii="Times New Roman" w:eastAsia="Times New Roman" w:hAnsi="Times New Roman" w:cs="Times New Roman"/>
                      <w:sz w:val="24"/>
                      <w:szCs w:val="24"/>
                    </w:rPr>
                    <w:t>Myxoedema</w:t>
                  </w:r>
                  <w:proofErr w:type="spellEnd"/>
                  <w:r w:rsidRPr="00DD0871">
                    <w:rPr>
                      <w:rFonts w:ascii="Times New Roman" w:eastAsia="Times New Roman" w:hAnsi="Times New Roman" w:cs="Times New Roman"/>
                      <w:sz w:val="24"/>
                      <w:szCs w:val="24"/>
                    </w:rPr>
                    <w:t xml:space="preserve"> </w:t>
                  </w:r>
                </w:p>
                <w:p w:rsidR="00DD0871" w:rsidRPr="00DD0871" w:rsidRDefault="00DD0871" w:rsidP="00DD0871">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DD0871">
                    <w:rPr>
                      <w:rFonts w:ascii="Times New Roman" w:eastAsia="Times New Roman" w:hAnsi="Times New Roman" w:cs="Times New Roman"/>
                      <w:sz w:val="24"/>
                      <w:szCs w:val="24"/>
                    </w:rPr>
                    <w:t xml:space="preserve">Coombs-positive </w:t>
                  </w:r>
                  <w:proofErr w:type="spellStart"/>
                  <w:r w:rsidRPr="00DD0871">
                    <w:rPr>
                      <w:rFonts w:ascii="Times New Roman" w:eastAsia="Times New Roman" w:hAnsi="Times New Roman" w:cs="Times New Roman"/>
                      <w:sz w:val="24"/>
                      <w:szCs w:val="24"/>
                    </w:rPr>
                    <w:t>haemolytic</w:t>
                  </w:r>
                  <w:proofErr w:type="spellEnd"/>
                  <w:r w:rsidRPr="00DD0871">
                    <w:rPr>
                      <w:rFonts w:ascii="Times New Roman" w:eastAsia="Times New Roman" w:hAnsi="Times New Roman" w:cs="Times New Roman"/>
                      <w:sz w:val="24"/>
                      <w:szCs w:val="24"/>
                    </w:rPr>
                    <w:t xml:space="preserve"> </w:t>
                  </w:r>
                  <w:proofErr w:type="spellStart"/>
                  <w:r w:rsidRPr="00DD0871">
                    <w:rPr>
                      <w:rFonts w:ascii="Times New Roman" w:eastAsia="Times New Roman" w:hAnsi="Times New Roman" w:cs="Times New Roman"/>
                      <w:sz w:val="24"/>
                      <w:szCs w:val="24"/>
                    </w:rPr>
                    <w:t>anaemia</w:t>
                  </w:r>
                  <w:proofErr w:type="spellEnd"/>
                  <w:r w:rsidRPr="00DD0871">
                    <w:rPr>
                      <w:rFonts w:ascii="Times New Roman" w:eastAsia="Times New Roman" w:hAnsi="Times New Roman" w:cs="Times New Roman"/>
                      <w:sz w:val="24"/>
                      <w:szCs w:val="24"/>
                    </w:rPr>
                    <w:t xml:space="preserve"> </w:t>
                  </w:r>
                </w:p>
                <w:p w:rsidR="00DD0871" w:rsidRPr="00DD0871" w:rsidRDefault="00DD0871" w:rsidP="00DD0871">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DD0871">
                    <w:rPr>
                      <w:rFonts w:ascii="Times New Roman" w:eastAsia="Times New Roman" w:hAnsi="Times New Roman" w:cs="Times New Roman"/>
                      <w:sz w:val="24"/>
                      <w:szCs w:val="24"/>
                    </w:rPr>
                    <w:t xml:space="preserve">Pleurisy </w:t>
                  </w:r>
                </w:p>
                <w:p w:rsidR="00DD0871" w:rsidRPr="00DD0871" w:rsidRDefault="00DD0871" w:rsidP="00DD0871">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DD0871">
                    <w:rPr>
                      <w:rFonts w:ascii="Times New Roman" w:eastAsia="Times New Roman" w:hAnsi="Times New Roman" w:cs="Times New Roman"/>
                      <w:sz w:val="24"/>
                      <w:szCs w:val="24"/>
                    </w:rPr>
                    <w:t xml:space="preserve">Transient pulmonary infiltrates </w:t>
                  </w:r>
                </w:p>
                <w:p w:rsidR="00DD0871" w:rsidRPr="00DD0871" w:rsidRDefault="00DD0871" w:rsidP="00DD0871">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DD0871">
                    <w:rPr>
                      <w:rFonts w:ascii="Times New Roman" w:eastAsia="Times New Roman" w:hAnsi="Times New Roman" w:cs="Times New Roman"/>
                      <w:sz w:val="24"/>
                      <w:szCs w:val="24"/>
                    </w:rPr>
                    <w:t xml:space="preserve">Ulcerative colitis </w:t>
                  </w:r>
                </w:p>
                <w:p w:rsidR="00DD0871" w:rsidRPr="00DD0871" w:rsidRDefault="00DD0871" w:rsidP="00DD0871">
                  <w:pPr>
                    <w:numPr>
                      <w:ilvl w:val="0"/>
                      <w:numId w:val="4"/>
                    </w:numPr>
                    <w:spacing w:before="100" w:beforeAutospacing="1" w:after="100" w:afterAutospacing="1" w:line="240" w:lineRule="auto"/>
                    <w:rPr>
                      <w:rFonts w:ascii="Times New Roman" w:eastAsia="Times New Roman" w:hAnsi="Times New Roman" w:cs="Times New Roman"/>
                      <w:sz w:val="24"/>
                      <w:szCs w:val="24"/>
                    </w:rPr>
                  </w:pPr>
                  <w:proofErr w:type="spellStart"/>
                  <w:r w:rsidRPr="00DD0871">
                    <w:rPr>
                      <w:rFonts w:ascii="Times New Roman" w:eastAsia="Times New Roman" w:hAnsi="Times New Roman" w:cs="Times New Roman"/>
                      <w:sz w:val="24"/>
                      <w:szCs w:val="24"/>
                    </w:rPr>
                    <w:t>Glomerulonephritis</w:t>
                  </w:r>
                  <w:proofErr w:type="spellEnd"/>
                  <w:r w:rsidRPr="00DD0871">
                    <w:rPr>
                      <w:rFonts w:ascii="Times New Roman" w:eastAsia="Times New Roman" w:hAnsi="Times New Roman" w:cs="Times New Roman"/>
                      <w:sz w:val="24"/>
                      <w:szCs w:val="24"/>
                    </w:rPr>
                    <w:t xml:space="preserve"> </w:t>
                  </w:r>
                </w:p>
                <w:p w:rsidR="00DD0871" w:rsidRPr="00DD0871" w:rsidRDefault="00DD0871" w:rsidP="00DD0871">
                  <w:pPr>
                    <w:numPr>
                      <w:ilvl w:val="0"/>
                      <w:numId w:val="4"/>
                    </w:numPr>
                    <w:spacing w:before="100" w:beforeAutospacing="1" w:after="100" w:afterAutospacing="1" w:line="240" w:lineRule="auto"/>
                    <w:rPr>
                      <w:rFonts w:ascii="Times New Roman" w:eastAsia="Times New Roman" w:hAnsi="Times New Roman" w:cs="Times New Roman"/>
                      <w:sz w:val="24"/>
                      <w:szCs w:val="24"/>
                    </w:rPr>
                  </w:pPr>
                  <w:proofErr w:type="spellStart"/>
                  <w:r w:rsidRPr="00DD0871">
                    <w:rPr>
                      <w:rFonts w:ascii="Times New Roman" w:eastAsia="Times New Roman" w:hAnsi="Times New Roman" w:cs="Times New Roman"/>
                      <w:sz w:val="24"/>
                      <w:szCs w:val="24"/>
                    </w:rPr>
                    <w:t>Nephrotic</w:t>
                  </w:r>
                  <w:proofErr w:type="spellEnd"/>
                  <w:r w:rsidRPr="00DD0871">
                    <w:rPr>
                      <w:rFonts w:ascii="Times New Roman" w:eastAsia="Times New Roman" w:hAnsi="Times New Roman" w:cs="Times New Roman"/>
                      <w:sz w:val="24"/>
                      <w:szCs w:val="24"/>
                    </w:rPr>
                    <w:t xml:space="preserve"> syndrome </w:t>
                  </w:r>
                </w:p>
              </w:tc>
            </w:tr>
          </w:tbl>
          <w:p w:rsidR="00DD0871" w:rsidRPr="00DD0871" w:rsidRDefault="00DD0871" w:rsidP="00DD0871">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7598"/>
            </w:tblGrid>
            <w:tr w:rsidR="00DD0871" w:rsidRPr="00DD0871">
              <w:trPr>
                <w:tblCellSpacing w:w="0" w:type="dxa"/>
              </w:trPr>
              <w:tc>
                <w:tcPr>
                  <w:tcW w:w="5000" w:type="pct"/>
                  <w:vAlign w:val="center"/>
                  <w:hideMark/>
                </w:tcPr>
                <w:p w:rsidR="00DD0871" w:rsidRPr="00DD0871" w:rsidRDefault="00DD0871" w:rsidP="00DD0871">
                  <w:pPr>
                    <w:spacing w:after="0" w:line="240" w:lineRule="auto"/>
                    <w:rPr>
                      <w:rFonts w:ascii="Times New Roman" w:eastAsia="Times New Roman" w:hAnsi="Times New Roman" w:cs="Times New Roman"/>
                      <w:sz w:val="24"/>
                      <w:szCs w:val="24"/>
                    </w:rPr>
                  </w:pPr>
                  <w:r w:rsidRPr="00DD0871">
                    <w:rPr>
                      <w:rFonts w:ascii="Times New Roman" w:eastAsia="Times New Roman" w:hAnsi="Times New Roman" w:cs="Times New Roman"/>
                      <w:sz w:val="24"/>
                      <w:szCs w:val="24"/>
                    </w:rPr>
                    <w:pict>
                      <v:shape id="_x0000_i1033" type="#_x0000_t75" alt="" style="width:.5pt;height:7.5pt"/>
                    </w:pict>
                  </w:r>
                </w:p>
              </w:tc>
            </w:tr>
          </w:tbl>
          <w:p w:rsidR="00DD0871" w:rsidRPr="00DD0871" w:rsidRDefault="00DD0871" w:rsidP="00DD0871">
            <w:pPr>
              <w:spacing w:after="0" w:line="240" w:lineRule="auto"/>
              <w:rPr>
                <w:rFonts w:ascii="Times New Roman" w:eastAsia="Times New Roman" w:hAnsi="Times New Roman" w:cs="Times New Roman"/>
                <w:vanish/>
                <w:sz w:val="24"/>
                <w:szCs w:val="24"/>
              </w:rPr>
            </w:pPr>
          </w:p>
          <w:tbl>
            <w:tblPr>
              <w:tblW w:w="4000" w:type="pct"/>
              <w:jc w:val="center"/>
              <w:tblCellSpacing w:w="0" w:type="dxa"/>
              <w:tblCellMar>
                <w:left w:w="0" w:type="dxa"/>
                <w:right w:w="0" w:type="dxa"/>
              </w:tblCellMar>
              <w:tblLook w:val="04A0"/>
            </w:tblPr>
            <w:tblGrid>
              <w:gridCol w:w="6078"/>
            </w:tblGrid>
            <w:tr w:rsidR="00DD0871" w:rsidRPr="00DD0871">
              <w:trPr>
                <w:tblCellSpacing w:w="0" w:type="dxa"/>
                <w:jc w:val="center"/>
              </w:trPr>
              <w:tc>
                <w:tcPr>
                  <w:tcW w:w="5000" w:type="pct"/>
                  <w:vAlign w:val="center"/>
                  <w:hideMark/>
                </w:tcPr>
                <w:p w:rsidR="00DD0871" w:rsidRPr="00DD0871" w:rsidRDefault="00DD0871" w:rsidP="00DD0871">
                  <w:pPr>
                    <w:spacing w:after="0" w:line="240" w:lineRule="auto"/>
                    <w:rPr>
                      <w:rFonts w:ascii="Times New Roman" w:eastAsia="Times New Roman" w:hAnsi="Times New Roman" w:cs="Times New Roman"/>
                      <w:sz w:val="24"/>
                      <w:szCs w:val="24"/>
                    </w:rPr>
                  </w:pPr>
                  <w:bookmarkStart w:id="62" w:name="B023055"/>
                  <w:bookmarkEnd w:id="62"/>
                  <w:r w:rsidRPr="00DD0871">
                    <w:rPr>
                      <w:rFonts w:ascii="Times New Roman" w:eastAsia="Times New Roman" w:hAnsi="Times New Roman" w:cs="Times New Roman"/>
                      <w:sz w:val="24"/>
                      <w:szCs w:val="24"/>
                    </w:rPr>
                    <w:t>23.55 FREQUENCY OF AUTOANTIBODIES IN CHRONIC NON-VIRAL LIVER DISEASES AND IN HEALTHY PEOPLE</w:t>
                  </w:r>
                </w:p>
              </w:tc>
            </w:tr>
          </w:tbl>
          <w:p w:rsidR="00DD0871" w:rsidRPr="00DD0871" w:rsidRDefault="00DD0871" w:rsidP="00DD0871">
            <w:pPr>
              <w:spacing w:after="0" w:line="240" w:lineRule="auto"/>
              <w:rPr>
                <w:rFonts w:ascii="Times New Roman" w:eastAsia="Times New Roman" w:hAnsi="Times New Roman" w:cs="Times New Roman"/>
                <w:vanish/>
                <w:sz w:val="24"/>
                <w:szCs w:val="24"/>
              </w:rPr>
            </w:pPr>
            <w:bookmarkStart w:id="63" w:name="TI023040"/>
            <w:bookmarkEnd w:id="63"/>
          </w:p>
          <w:tbl>
            <w:tblPr>
              <w:tblW w:w="0" w:type="auto"/>
              <w:jc w:val="center"/>
              <w:tblCellSpacing w:w="0" w:type="dxa"/>
              <w:tblCellMar>
                <w:top w:w="15" w:type="dxa"/>
                <w:left w:w="15" w:type="dxa"/>
                <w:bottom w:w="15" w:type="dxa"/>
                <w:right w:w="15" w:type="dxa"/>
              </w:tblCellMar>
              <w:tblLook w:val="04A0"/>
            </w:tblPr>
            <w:tblGrid>
              <w:gridCol w:w="1719"/>
              <w:gridCol w:w="1659"/>
              <w:gridCol w:w="1848"/>
              <w:gridCol w:w="2372"/>
            </w:tblGrid>
            <w:tr w:rsidR="00DD0871" w:rsidRPr="00DD0871">
              <w:trPr>
                <w:tblCellSpacing w:w="0" w:type="dxa"/>
                <w:jc w:val="center"/>
              </w:trPr>
              <w:tc>
                <w:tcPr>
                  <w:tcW w:w="0" w:type="auto"/>
                  <w:vAlign w:val="bottom"/>
                  <w:hideMark/>
                </w:tcPr>
                <w:p w:rsidR="00DD0871" w:rsidRPr="00DD0871" w:rsidRDefault="00DD0871" w:rsidP="00DD0871">
                  <w:pPr>
                    <w:spacing w:after="0" w:line="240" w:lineRule="auto"/>
                    <w:rPr>
                      <w:rFonts w:ascii="Times New Roman" w:eastAsia="Times New Roman" w:hAnsi="Times New Roman" w:cs="Times New Roman"/>
                      <w:sz w:val="24"/>
                      <w:szCs w:val="24"/>
                    </w:rPr>
                  </w:pPr>
                  <w:bookmarkStart w:id="64" w:name="TI023040.50"/>
                  <w:bookmarkEnd w:id="64"/>
                  <w:r w:rsidRPr="00DD0871">
                    <w:rPr>
                      <w:rFonts w:ascii="Times New Roman" w:eastAsia="Times New Roman" w:hAnsi="Times New Roman" w:cs="Times New Roman"/>
                      <w:b/>
                      <w:bCs/>
                      <w:sz w:val="24"/>
                      <w:szCs w:val="24"/>
                    </w:rPr>
                    <w:t>Disease</w:t>
                  </w:r>
                </w:p>
              </w:tc>
              <w:tc>
                <w:tcPr>
                  <w:tcW w:w="0" w:type="auto"/>
                  <w:vAlign w:val="bottom"/>
                  <w:hideMark/>
                </w:tcPr>
                <w:p w:rsidR="00DD0871" w:rsidRPr="00DD0871" w:rsidRDefault="00DD0871" w:rsidP="00DD0871">
                  <w:pPr>
                    <w:spacing w:after="0" w:line="240" w:lineRule="auto"/>
                    <w:rPr>
                      <w:rFonts w:ascii="Times New Roman" w:eastAsia="Times New Roman" w:hAnsi="Times New Roman" w:cs="Times New Roman"/>
                      <w:sz w:val="24"/>
                      <w:szCs w:val="24"/>
                    </w:rPr>
                  </w:pPr>
                  <w:r w:rsidRPr="00DD0871">
                    <w:rPr>
                      <w:rFonts w:ascii="Times New Roman" w:eastAsia="Times New Roman" w:hAnsi="Times New Roman" w:cs="Times New Roman"/>
                      <w:b/>
                      <w:bCs/>
                      <w:sz w:val="24"/>
                      <w:szCs w:val="24"/>
                    </w:rPr>
                    <w:t>Antinuclear antibody (%)</w:t>
                  </w:r>
                </w:p>
              </w:tc>
              <w:tc>
                <w:tcPr>
                  <w:tcW w:w="0" w:type="auto"/>
                  <w:vAlign w:val="bottom"/>
                  <w:hideMark/>
                </w:tcPr>
                <w:p w:rsidR="00DD0871" w:rsidRPr="00DD0871" w:rsidRDefault="00DD0871" w:rsidP="00DD0871">
                  <w:pPr>
                    <w:spacing w:after="0" w:line="240" w:lineRule="auto"/>
                    <w:rPr>
                      <w:rFonts w:ascii="Times New Roman" w:eastAsia="Times New Roman" w:hAnsi="Times New Roman" w:cs="Times New Roman"/>
                      <w:sz w:val="24"/>
                      <w:szCs w:val="24"/>
                    </w:rPr>
                  </w:pPr>
                  <w:proofErr w:type="spellStart"/>
                  <w:r w:rsidRPr="00DD0871">
                    <w:rPr>
                      <w:rFonts w:ascii="Times New Roman" w:eastAsia="Times New Roman" w:hAnsi="Times New Roman" w:cs="Times New Roman"/>
                      <w:b/>
                      <w:bCs/>
                      <w:sz w:val="24"/>
                      <w:szCs w:val="24"/>
                    </w:rPr>
                    <w:t>Antismooth</w:t>
                  </w:r>
                  <w:proofErr w:type="spellEnd"/>
                  <w:r w:rsidRPr="00DD0871">
                    <w:rPr>
                      <w:rFonts w:ascii="Times New Roman" w:eastAsia="Times New Roman" w:hAnsi="Times New Roman" w:cs="Times New Roman"/>
                      <w:b/>
                      <w:bCs/>
                      <w:sz w:val="24"/>
                      <w:szCs w:val="24"/>
                    </w:rPr>
                    <w:t xml:space="preserve"> muscle antibody (%)</w:t>
                  </w:r>
                </w:p>
              </w:tc>
              <w:tc>
                <w:tcPr>
                  <w:tcW w:w="0" w:type="auto"/>
                  <w:vAlign w:val="bottom"/>
                  <w:hideMark/>
                </w:tcPr>
                <w:p w:rsidR="00DD0871" w:rsidRPr="00DD0871" w:rsidRDefault="00DD0871" w:rsidP="00DD0871">
                  <w:pPr>
                    <w:spacing w:after="0" w:line="240" w:lineRule="auto"/>
                    <w:rPr>
                      <w:rFonts w:ascii="Times New Roman" w:eastAsia="Times New Roman" w:hAnsi="Times New Roman" w:cs="Times New Roman"/>
                      <w:sz w:val="24"/>
                      <w:szCs w:val="24"/>
                    </w:rPr>
                  </w:pPr>
                  <w:proofErr w:type="spellStart"/>
                  <w:r w:rsidRPr="00DD0871">
                    <w:rPr>
                      <w:rFonts w:ascii="Times New Roman" w:eastAsia="Times New Roman" w:hAnsi="Times New Roman" w:cs="Times New Roman"/>
                      <w:b/>
                      <w:bCs/>
                      <w:sz w:val="24"/>
                      <w:szCs w:val="24"/>
                    </w:rPr>
                    <w:t>Antimitochondrial</w:t>
                  </w:r>
                  <w:proofErr w:type="spellEnd"/>
                  <w:r w:rsidRPr="00DD0871">
                    <w:rPr>
                      <w:rFonts w:ascii="Times New Roman" w:eastAsia="Times New Roman" w:hAnsi="Times New Roman" w:cs="Times New Roman"/>
                      <w:b/>
                      <w:bCs/>
                      <w:sz w:val="24"/>
                      <w:szCs w:val="24"/>
                    </w:rPr>
                    <w:t xml:space="preserve"> antibody*</w:t>
                  </w:r>
                  <w:r w:rsidRPr="00DD0871">
                    <w:rPr>
                      <w:rFonts w:ascii="Times New Roman" w:eastAsia="Times New Roman" w:hAnsi="Times New Roman" w:cs="Times New Roman"/>
                      <w:sz w:val="24"/>
                      <w:szCs w:val="24"/>
                    </w:rPr>
                    <w:t xml:space="preserve"> </w:t>
                  </w:r>
                  <w:r w:rsidRPr="00DD0871">
                    <w:rPr>
                      <w:rFonts w:ascii="Times New Roman" w:eastAsia="Times New Roman" w:hAnsi="Times New Roman" w:cs="Times New Roman"/>
                      <w:b/>
                      <w:bCs/>
                      <w:sz w:val="24"/>
                      <w:szCs w:val="24"/>
                    </w:rPr>
                    <w:t>(%)</w:t>
                  </w:r>
                </w:p>
              </w:tc>
            </w:tr>
            <w:tr w:rsidR="00DD0871" w:rsidRPr="00DD0871">
              <w:trPr>
                <w:tblCellSpacing w:w="0" w:type="dxa"/>
                <w:jc w:val="center"/>
              </w:trPr>
              <w:tc>
                <w:tcPr>
                  <w:tcW w:w="0" w:type="auto"/>
                  <w:shd w:val="clear" w:color="auto" w:fill="FFFFFF"/>
                  <w:hideMark/>
                </w:tcPr>
                <w:p w:rsidR="00DD0871" w:rsidRPr="00DD0871" w:rsidRDefault="00DD0871" w:rsidP="00DD0871">
                  <w:pPr>
                    <w:spacing w:after="0" w:line="240" w:lineRule="auto"/>
                    <w:rPr>
                      <w:rFonts w:ascii="Times New Roman" w:eastAsia="Times New Roman" w:hAnsi="Times New Roman" w:cs="Times New Roman"/>
                      <w:sz w:val="24"/>
                      <w:szCs w:val="24"/>
                    </w:rPr>
                  </w:pPr>
                  <w:bookmarkStart w:id="65" w:name="TI023040.100"/>
                  <w:bookmarkEnd w:id="65"/>
                  <w:r w:rsidRPr="00DD0871">
                    <w:rPr>
                      <w:rFonts w:ascii="Times New Roman" w:eastAsia="Times New Roman" w:hAnsi="Times New Roman" w:cs="Times New Roman"/>
                      <w:b/>
                      <w:bCs/>
                      <w:sz w:val="24"/>
                      <w:szCs w:val="24"/>
                    </w:rPr>
                    <w:t>Healthy controls</w:t>
                  </w:r>
                </w:p>
              </w:tc>
              <w:tc>
                <w:tcPr>
                  <w:tcW w:w="0" w:type="auto"/>
                  <w:shd w:val="clear" w:color="auto" w:fill="FFFFFF"/>
                  <w:hideMark/>
                </w:tcPr>
                <w:p w:rsidR="00DD0871" w:rsidRPr="00DD0871" w:rsidRDefault="00DD0871" w:rsidP="00DD0871">
                  <w:pPr>
                    <w:spacing w:after="0" w:line="240" w:lineRule="auto"/>
                    <w:rPr>
                      <w:rFonts w:ascii="Times New Roman" w:eastAsia="Times New Roman" w:hAnsi="Times New Roman" w:cs="Times New Roman"/>
                      <w:sz w:val="24"/>
                      <w:szCs w:val="24"/>
                    </w:rPr>
                  </w:pPr>
                  <w:r w:rsidRPr="00DD0871">
                    <w:rPr>
                      <w:rFonts w:ascii="Times New Roman" w:eastAsia="Times New Roman" w:hAnsi="Times New Roman" w:cs="Times New Roman"/>
                      <w:sz w:val="24"/>
                      <w:szCs w:val="24"/>
                    </w:rPr>
                    <w:t>5</w:t>
                  </w:r>
                </w:p>
              </w:tc>
              <w:tc>
                <w:tcPr>
                  <w:tcW w:w="0" w:type="auto"/>
                  <w:shd w:val="clear" w:color="auto" w:fill="FFFFFF"/>
                  <w:hideMark/>
                </w:tcPr>
                <w:p w:rsidR="00DD0871" w:rsidRPr="00DD0871" w:rsidRDefault="00DD0871" w:rsidP="00DD0871">
                  <w:pPr>
                    <w:spacing w:after="0" w:line="240" w:lineRule="auto"/>
                    <w:rPr>
                      <w:rFonts w:ascii="Times New Roman" w:eastAsia="Times New Roman" w:hAnsi="Times New Roman" w:cs="Times New Roman"/>
                      <w:sz w:val="24"/>
                      <w:szCs w:val="24"/>
                    </w:rPr>
                  </w:pPr>
                  <w:r w:rsidRPr="00DD0871">
                    <w:rPr>
                      <w:rFonts w:ascii="Times New Roman" w:eastAsia="Times New Roman" w:hAnsi="Times New Roman" w:cs="Times New Roman"/>
                      <w:sz w:val="24"/>
                      <w:szCs w:val="24"/>
                    </w:rPr>
                    <w:t>1.5</w:t>
                  </w:r>
                </w:p>
              </w:tc>
              <w:tc>
                <w:tcPr>
                  <w:tcW w:w="0" w:type="auto"/>
                  <w:shd w:val="clear" w:color="auto" w:fill="FFFFFF"/>
                  <w:hideMark/>
                </w:tcPr>
                <w:p w:rsidR="00DD0871" w:rsidRPr="00DD0871" w:rsidRDefault="00DD0871" w:rsidP="00DD0871">
                  <w:pPr>
                    <w:spacing w:after="0" w:line="240" w:lineRule="auto"/>
                    <w:rPr>
                      <w:rFonts w:ascii="Times New Roman" w:eastAsia="Times New Roman" w:hAnsi="Times New Roman" w:cs="Times New Roman"/>
                      <w:sz w:val="24"/>
                      <w:szCs w:val="24"/>
                    </w:rPr>
                  </w:pPr>
                  <w:r w:rsidRPr="00DD0871">
                    <w:rPr>
                      <w:rFonts w:ascii="Times New Roman" w:eastAsia="Times New Roman" w:hAnsi="Times New Roman" w:cs="Times New Roman"/>
                      <w:sz w:val="24"/>
                      <w:szCs w:val="24"/>
                    </w:rPr>
                    <w:t>0.01</w:t>
                  </w:r>
                </w:p>
              </w:tc>
            </w:tr>
            <w:tr w:rsidR="00DD0871" w:rsidRPr="00DD0871">
              <w:trPr>
                <w:tblCellSpacing w:w="0" w:type="dxa"/>
                <w:jc w:val="center"/>
              </w:trPr>
              <w:tc>
                <w:tcPr>
                  <w:tcW w:w="0" w:type="auto"/>
                  <w:shd w:val="clear" w:color="auto" w:fill="FFFFFF"/>
                  <w:hideMark/>
                </w:tcPr>
                <w:p w:rsidR="00DD0871" w:rsidRPr="00DD0871" w:rsidRDefault="00DD0871" w:rsidP="00DD0871">
                  <w:pPr>
                    <w:spacing w:after="0" w:line="240" w:lineRule="auto"/>
                    <w:rPr>
                      <w:rFonts w:ascii="Times New Roman" w:eastAsia="Times New Roman" w:hAnsi="Times New Roman" w:cs="Times New Roman"/>
                      <w:sz w:val="24"/>
                      <w:szCs w:val="24"/>
                    </w:rPr>
                  </w:pPr>
                  <w:bookmarkStart w:id="66" w:name="TI023040.150"/>
                  <w:bookmarkEnd w:id="66"/>
                  <w:r w:rsidRPr="00DD0871">
                    <w:rPr>
                      <w:rFonts w:ascii="Times New Roman" w:eastAsia="Times New Roman" w:hAnsi="Times New Roman" w:cs="Times New Roman"/>
                      <w:b/>
                      <w:bCs/>
                      <w:sz w:val="24"/>
                      <w:szCs w:val="24"/>
                    </w:rPr>
                    <w:t>Autoimmune hepatitis</w:t>
                  </w:r>
                </w:p>
              </w:tc>
              <w:tc>
                <w:tcPr>
                  <w:tcW w:w="0" w:type="auto"/>
                  <w:shd w:val="clear" w:color="auto" w:fill="FFFFFF"/>
                  <w:hideMark/>
                </w:tcPr>
                <w:p w:rsidR="00DD0871" w:rsidRPr="00DD0871" w:rsidRDefault="00DD0871" w:rsidP="00DD0871">
                  <w:pPr>
                    <w:spacing w:after="0" w:line="240" w:lineRule="auto"/>
                    <w:rPr>
                      <w:rFonts w:ascii="Times New Roman" w:eastAsia="Times New Roman" w:hAnsi="Times New Roman" w:cs="Times New Roman"/>
                      <w:sz w:val="24"/>
                      <w:szCs w:val="24"/>
                    </w:rPr>
                  </w:pPr>
                  <w:r w:rsidRPr="00DD0871">
                    <w:rPr>
                      <w:rFonts w:ascii="Times New Roman" w:eastAsia="Times New Roman" w:hAnsi="Times New Roman" w:cs="Times New Roman"/>
                      <w:sz w:val="24"/>
                      <w:szCs w:val="24"/>
                    </w:rPr>
                    <w:t>80</w:t>
                  </w:r>
                </w:p>
              </w:tc>
              <w:tc>
                <w:tcPr>
                  <w:tcW w:w="0" w:type="auto"/>
                  <w:shd w:val="clear" w:color="auto" w:fill="FFFFFF"/>
                  <w:hideMark/>
                </w:tcPr>
                <w:p w:rsidR="00DD0871" w:rsidRPr="00DD0871" w:rsidRDefault="00DD0871" w:rsidP="00DD0871">
                  <w:pPr>
                    <w:spacing w:after="0" w:line="240" w:lineRule="auto"/>
                    <w:rPr>
                      <w:rFonts w:ascii="Times New Roman" w:eastAsia="Times New Roman" w:hAnsi="Times New Roman" w:cs="Times New Roman"/>
                      <w:sz w:val="24"/>
                      <w:szCs w:val="24"/>
                    </w:rPr>
                  </w:pPr>
                  <w:r w:rsidRPr="00DD0871">
                    <w:rPr>
                      <w:rFonts w:ascii="Times New Roman" w:eastAsia="Times New Roman" w:hAnsi="Times New Roman" w:cs="Times New Roman"/>
                      <w:sz w:val="24"/>
                      <w:szCs w:val="24"/>
                    </w:rPr>
                    <w:t>70</w:t>
                  </w:r>
                </w:p>
              </w:tc>
              <w:tc>
                <w:tcPr>
                  <w:tcW w:w="0" w:type="auto"/>
                  <w:shd w:val="clear" w:color="auto" w:fill="FFFFFF"/>
                  <w:hideMark/>
                </w:tcPr>
                <w:p w:rsidR="00DD0871" w:rsidRPr="00DD0871" w:rsidRDefault="00DD0871" w:rsidP="00DD0871">
                  <w:pPr>
                    <w:spacing w:after="0" w:line="240" w:lineRule="auto"/>
                    <w:rPr>
                      <w:rFonts w:ascii="Times New Roman" w:eastAsia="Times New Roman" w:hAnsi="Times New Roman" w:cs="Times New Roman"/>
                      <w:sz w:val="24"/>
                      <w:szCs w:val="24"/>
                    </w:rPr>
                  </w:pPr>
                  <w:r w:rsidRPr="00DD0871">
                    <w:rPr>
                      <w:rFonts w:ascii="Times New Roman" w:eastAsia="Times New Roman" w:hAnsi="Times New Roman" w:cs="Times New Roman"/>
                      <w:sz w:val="24"/>
                      <w:szCs w:val="24"/>
                    </w:rPr>
                    <w:t>15</w:t>
                  </w:r>
                </w:p>
              </w:tc>
            </w:tr>
            <w:tr w:rsidR="00DD0871" w:rsidRPr="00DD0871">
              <w:trPr>
                <w:tblCellSpacing w:w="0" w:type="dxa"/>
                <w:jc w:val="center"/>
              </w:trPr>
              <w:tc>
                <w:tcPr>
                  <w:tcW w:w="0" w:type="auto"/>
                  <w:shd w:val="clear" w:color="auto" w:fill="FFFFFF"/>
                  <w:hideMark/>
                </w:tcPr>
                <w:p w:rsidR="00DD0871" w:rsidRPr="00DD0871" w:rsidRDefault="00DD0871" w:rsidP="00DD0871">
                  <w:pPr>
                    <w:spacing w:after="0" w:line="240" w:lineRule="auto"/>
                    <w:rPr>
                      <w:rFonts w:ascii="Times New Roman" w:eastAsia="Times New Roman" w:hAnsi="Times New Roman" w:cs="Times New Roman"/>
                      <w:sz w:val="24"/>
                      <w:szCs w:val="24"/>
                    </w:rPr>
                  </w:pPr>
                  <w:bookmarkStart w:id="67" w:name="TI023040.200"/>
                  <w:bookmarkEnd w:id="67"/>
                  <w:r w:rsidRPr="00DD0871">
                    <w:rPr>
                      <w:rFonts w:ascii="Times New Roman" w:eastAsia="Times New Roman" w:hAnsi="Times New Roman" w:cs="Times New Roman"/>
                      <w:b/>
                      <w:bCs/>
                      <w:sz w:val="24"/>
                      <w:szCs w:val="24"/>
                    </w:rPr>
                    <w:t xml:space="preserve">Primary </w:t>
                  </w:r>
                  <w:proofErr w:type="spellStart"/>
                  <w:r w:rsidRPr="00DD0871">
                    <w:rPr>
                      <w:rFonts w:ascii="Times New Roman" w:eastAsia="Times New Roman" w:hAnsi="Times New Roman" w:cs="Times New Roman"/>
                      <w:b/>
                      <w:bCs/>
                      <w:sz w:val="24"/>
                      <w:szCs w:val="24"/>
                    </w:rPr>
                    <w:t>biliary</w:t>
                  </w:r>
                  <w:proofErr w:type="spellEnd"/>
                  <w:r w:rsidRPr="00DD0871">
                    <w:rPr>
                      <w:rFonts w:ascii="Times New Roman" w:eastAsia="Times New Roman" w:hAnsi="Times New Roman" w:cs="Times New Roman"/>
                      <w:b/>
                      <w:bCs/>
                      <w:sz w:val="24"/>
                      <w:szCs w:val="24"/>
                    </w:rPr>
                    <w:t xml:space="preserve"> cirrhosis</w:t>
                  </w:r>
                </w:p>
              </w:tc>
              <w:tc>
                <w:tcPr>
                  <w:tcW w:w="0" w:type="auto"/>
                  <w:shd w:val="clear" w:color="auto" w:fill="FFFFFF"/>
                  <w:hideMark/>
                </w:tcPr>
                <w:p w:rsidR="00DD0871" w:rsidRPr="00DD0871" w:rsidRDefault="00DD0871" w:rsidP="00DD0871">
                  <w:pPr>
                    <w:spacing w:after="0" w:line="240" w:lineRule="auto"/>
                    <w:rPr>
                      <w:rFonts w:ascii="Times New Roman" w:eastAsia="Times New Roman" w:hAnsi="Times New Roman" w:cs="Times New Roman"/>
                      <w:sz w:val="24"/>
                      <w:szCs w:val="24"/>
                    </w:rPr>
                  </w:pPr>
                  <w:r w:rsidRPr="00DD0871">
                    <w:rPr>
                      <w:rFonts w:ascii="Times New Roman" w:eastAsia="Times New Roman" w:hAnsi="Times New Roman" w:cs="Times New Roman"/>
                      <w:sz w:val="24"/>
                      <w:szCs w:val="24"/>
                    </w:rPr>
                    <w:t>25</w:t>
                  </w:r>
                </w:p>
              </w:tc>
              <w:tc>
                <w:tcPr>
                  <w:tcW w:w="0" w:type="auto"/>
                  <w:shd w:val="clear" w:color="auto" w:fill="FFFFFF"/>
                  <w:hideMark/>
                </w:tcPr>
                <w:p w:rsidR="00DD0871" w:rsidRPr="00DD0871" w:rsidRDefault="00DD0871" w:rsidP="00DD0871">
                  <w:pPr>
                    <w:spacing w:after="0" w:line="240" w:lineRule="auto"/>
                    <w:rPr>
                      <w:rFonts w:ascii="Times New Roman" w:eastAsia="Times New Roman" w:hAnsi="Times New Roman" w:cs="Times New Roman"/>
                      <w:sz w:val="24"/>
                      <w:szCs w:val="24"/>
                    </w:rPr>
                  </w:pPr>
                  <w:r w:rsidRPr="00DD0871">
                    <w:rPr>
                      <w:rFonts w:ascii="Times New Roman" w:eastAsia="Times New Roman" w:hAnsi="Times New Roman" w:cs="Times New Roman"/>
                      <w:sz w:val="24"/>
                      <w:szCs w:val="24"/>
                    </w:rPr>
                    <w:t>35</w:t>
                  </w:r>
                </w:p>
              </w:tc>
              <w:tc>
                <w:tcPr>
                  <w:tcW w:w="0" w:type="auto"/>
                  <w:shd w:val="clear" w:color="auto" w:fill="FFFFFF"/>
                  <w:hideMark/>
                </w:tcPr>
                <w:p w:rsidR="00DD0871" w:rsidRPr="00DD0871" w:rsidRDefault="00DD0871" w:rsidP="00DD0871">
                  <w:pPr>
                    <w:spacing w:after="0" w:line="240" w:lineRule="auto"/>
                    <w:rPr>
                      <w:rFonts w:ascii="Times New Roman" w:eastAsia="Times New Roman" w:hAnsi="Times New Roman" w:cs="Times New Roman"/>
                      <w:sz w:val="24"/>
                      <w:szCs w:val="24"/>
                    </w:rPr>
                  </w:pPr>
                  <w:r w:rsidRPr="00DD0871">
                    <w:rPr>
                      <w:rFonts w:ascii="Times New Roman" w:eastAsia="Times New Roman" w:hAnsi="Times New Roman" w:cs="Times New Roman"/>
                      <w:sz w:val="24"/>
                      <w:szCs w:val="24"/>
                    </w:rPr>
                    <w:t>95</w:t>
                  </w:r>
                </w:p>
              </w:tc>
            </w:tr>
            <w:tr w:rsidR="00DD0871" w:rsidRPr="00DD0871">
              <w:trPr>
                <w:tblCellSpacing w:w="0" w:type="dxa"/>
                <w:jc w:val="center"/>
              </w:trPr>
              <w:tc>
                <w:tcPr>
                  <w:tcW w:w="0" w:type="auto"/>
                  <w:shd w:val="clear" w:color="auto" w:fill="FFFFFF"/>
                  <w:hideMark/>
                </w:tcPr>
                <w:p w:rsidR="00DD0871" w:rsidRPr="00DD0871" w:rsidRDefault="00DD0871" w:rsidP="00DD0871">
                  <w:pPr>
                    <w:spacing w:after="0" w:line="240" w:lineRule="auto"/>
                    <w:rPr>
                      <w:rFonts w:ascii="Times New Roman" w:eastAsia="Times New Roman" w:hAnsi="Times New Roman" w:cs="Times New Roman"/>
                      <w:sz w:val="24"/>
                      <w:szCs w:val="24"/>
                    </w:rPr>
                  </w:pPr>
                  <w:bookmarkStart w:id="68" w:name="TI023040.250"/>
                  <w:bookmarkEnd w:id="68"/>
                  <w:r w:rsidRPr="00DD0871">
                    <w:rPr>
                      <w:rFonts w:ascii="Times New Roman" w:eastAsia="Times New Roman" w:hAnsi="Times New Roman" w:cs="Times New Roman"/>
                      <w:b/>
                      <w:bCs/>
                      <w:sz w:val="24"/>
                      <w:szCs w:val="24"/>
                    </w:rPr>
                    <w:t>Cryptogenic cirrhosis</w:t>
                  </w:r>
                </w:p>
              </w:tc>
              <w:tc>
                <w:tcPr>
                  <w:tcW w:w="0" w:type="auto"/>
                  <w:shd w:val="clear" w:color="auto" w:fill="FFFFFF"/>
                  <w:hideMark/>
                </w:tcPr>
                <w:p w:rsidR="00DD0871" w:rsidRPr="00DD0871" w:rsidRDefault="00DD0871" w:rsidP="00DD0871">
                  <w:pPr>
                    <w:spacing w:after="0" w:line="240" w:lineRule="auto"/>
                    <w:rPr>
                      <w:rFonts w:ascii="Times New Roman" w:eastAsia="Times New Roman" w:hAnsi="Times New Roman" w:cs="Times New Roman"/>
                      <w:sz w:val="24"/>
                      <w:szCs w:val="24"/>
                    </w:rPr>
                  </w:pPr>
                  <w:r w:rsidRPr="00DD0871">
                    <w:rPr>
                      <w:rFonts w:ascii="Times New Roman" w:eastAsia="Times New Roman" w:hAnsi="Times New Roman" w:cs="Times New Roman"/>
                      <w:sz w:val="24"/>
                      <w:szCs w:val="24"/>
                    </w:rPr>
                    <w:t>40</w:t>
                  </w:r>
                </w:p>
              </w:tc>
              <w:tc>
                <w:tcPr>
                  <w:tcW w:w="0" w:type="auto"/>
                  <w:shd w:val="clear" w:color="auto" w:fill="FFFFFF"/>
                  <w:hideMark/>
                </w:tcPr>
                <w:p w:rsidR="00DD0871" w:rsidRPr="00DD0871" w:rsidRDefault="00DD0871" w:rsidP="00DD0871">
                  <w:pPr>
                    <w:spacing w:after="0" w:line="240" w:lineRule="auto"/>
                    <w:rPr>
                      <w:rFonts w:ascii="Times New Roman" w:eastAsia="Times New Roman" w:hAnsi="Times New Roman" w:cs="Times New Roman"/>
                      <w:sz w:val="24"/>
                      <w:szCs w:val="24"/>
                    </w:rPr>
                  </w:pPr>
                  <w:r w:rsidRPr="00DD0871">
                    <w:rPr>
                      <w:rFonts w:ascii="Times New Roman" w:eastAsia="Times New Roman" w:hAnsi="Times New Roman" w:cs="Times New Roman"/>
                      <w:sz w:val="24"/>
                      <w:szCs w:val="24"/>
                    </w:rPr>
                    <w:t>30</w:t>
                  </w:r>
                </w:p>
              </w:tc>
              <w:tc>
                <w:tcPr>
                  <w:tcW w:w="0" w:type="auto"/>
                  <w:shd w:val="clear" w:color="auto" w:fill="FFFFFF"/>
                  <w:hideMark/>
                </w:tcPr>
                <w:p w:rsidR="00DD0871" w:rsidRPr="00DD0871" w:rsidRDefault="00DD0871" w:rsidP="00DD0871">
                  <w:pPr>
                    <w:spacing w:after="0" w:line="240" w:lineRule="auto"/>
                    <w:rPr>
                      <w:rFonts w:ascii="Times New Roman" w:eastAsia="Times New Roman" w:hAnsi="Times New Roman" w:cs="Times New Roman"/>
                      <w:sz w:val="24"/>
                      <w:szCs w:val="24"/>
                    </w:rPr>
                  </w:pPr>
                  <w:r w:rsidRPr="00DD0871">
                    <w:rPr>
                      <w:rFonts w:ascii="Times New Roman" w:eastAsia="Times New Roman" w:hAnsi="Times New Roman" w:cs="Times New Roman"/>
                      <w:sz w:val="24"/>
                      <w:szCs w:val="24"/>
                    </w:rPr>
                    <w:t>15</w:t>
                  </w:r>
                </w:p>
              </w:tc>
            </w:tr>
          </w:tbl>
          <w:p w:rsidR="00DD0871" w:rsidRPr="00DD0871" w:rsidRDefault="00DD0871" w:rsidP="00DD0871">
            <w:pPr>
              <w:spacing w:after="0" w:line="240" w:lineRule="auto"/>
              <w:rPr>
                <w:rFonts w:ascii="Times New Roman" w:eastAsia="Times New Roman" w:hAnsi="Times New Roman" w:cs="Times New Roman"/>
                <w:vanish/>
                <w:sz w:val="24"/>
                <w:szCs w:val="24"/>
              </w:rPr>
            </w:pPr>
          </w:p>
          <w:tbl>
            <w:tblPr>
              <w:tblW w:w="4500" w:type="pct"/>
              <w:jc w:val="center"/>
              <w:tblCellSpacing w:w="0" w:type="dxa"/>
              <w:tblCellMar>
                <w:left w:w="0" w:type="dxa"/>
                <w:right w:w="0" w:type="dxa"/>
              </w:tblCellMar>
              <w:tblLook w:val="04A0"/>
            </w:tblPr>
            <w:tblGrid>
              <w:gridCol w:w="6838"/>
            </w:tblGrid>
            <w:tr w:rsidR="00DD0871" w:rsidRPr="00DD0871">
              <w:trPr>
                <w:tblCellSpacing w:w="0" w:type="dxa"/>
                <w:jc w:val="center"/>
              </w:trPr>
              <w:tc>
                <w:tcPr>
                  <w:tcW w:w="5000" w:type="pct"/>
                  <w:shd w:val="clear" w:color="auto" w:fill="FFFFFF"/>
                  <w:vAlign w:val="center"/>
                  <w:hideMark/>
                </w:tcPr>
                <w:p w:rsidR="00DD0871" w:rsidRPr="00DD0871" w:rsidRDefault="00DD0871" w:rsidP="00DD0871">
                  <w:pPr>
                    <w:spacing w:after="0" w:line="240" w:lineRule="auto"/>
                    <w:rPr>
                      <w:rFonts w:ascii="Times New Roman" w:eastAsia="Times New Roman" w:hAnsi="Times New Roman" w:cs="Times New Roman"/>
                      <w:sz w:val="24"/>
                      <w:szCs w:val="24"/>
                    </w:rPr>
                  </w:pPr>
                  <w:r w:rsidRPr="00DD0871">
                    <w:rPr>
                      <w:rFonts w:ascii="Times New Roman" w:eastAsia="Times New Roman" w:hAnsi="Times New Roman" w:cs="Times New Roman"/>
                      <w:sz w:val="24"/>
                      <w:szCs w:val="24"/>
                    </w:rPr>
                    <w:br/>
                    <w:t xml:space="preserve">* Patients with </w:t>
                  </w:r>
                  <w:proofErr w:type="spellStart"/>
                  <w:r w:rsidRPr="00DD0871">
                    <w:rPr>
                      <w:rFonts w:ascii="Times New Roman" w:eastAsia="Times New Roman" w:hAnsi="Times New Roman" w:cs="Times New Roman"/>
                      <w:sz w:val="24"/>
                      <w:szCs w:val="24"/>
                    </w:rPr>
                    <w:t>antimitochondrial</w:t>
                  </w:r>
                  <w:proofErr w:type="spellEnd"/>
                  <w:r w:rsidRPr="00DD0871">
                    <w:rPr>
                      <w:rFonts w:ascii="Times New Roman" w:eastAsia="Times New Roman" w:hAnsi="Times New Roman" w:cs="Times New Roman"/>
                      <w:sz w:val="24"/>
                      <w:szCs w:val="24"/>
                    </w:rPr>
                    <w:t xml:space="preserve"> antibody frequently have </w:t>
                  </w:r>
                  <w:proofErr w:type="spellStart"/>
                  <w:r w:rsidRPr="00DD0871">
                    <w:rPr>
                      <w:rFonts w:ascii="Times New Roman" w:eastAsia="Times New Roman" w:hAnsi="Times New Roman" w:cs="Times New Roman"/>
                      <w:sz w:val="24"/>
                      <w:szCs w:val="24"/>
                    </w:rPr>
                    <w:t>cholestatic</w:t>
                  </w:r>
                  <w:proofErr w:type="spellEnd"/>
                  <w:r w:rsidRPr="00DD0871">
                    <w:rPr>
                      <w:rFonts w:ascii="Times New Roman" w:eastAsia="Times New Roman" w:hAnsi="Times New Roman" w:cs="Times New Roman"/>
                      <w:sz w:val="24"/>
                      <w:szCs w:val="24"/>
                    </w:rPr>
                    <w:t xml:space="preserve"> LFTs and may have primary </w:t>
                  </w:r>
                  <w:proofErr w:type="spellStart"/>
                  <w:r w:rsidRPr="00DD0871">
                    <w:rPr>
                      <w:rFonts w:ascii="Times New Roman" w:eastAsia="Times New Roman" w:hAnsi="Times New Roman" w:cs="Times New Roman"/>
                      <w:sz w:val="24"/>
                      <w:szCs w:val="24"/>
                    </w:rPr>
                    <w:t>biliary</w:t>
                  </w:r>
                  <w:proofErr w:type="spellEnd"/>
                  <w:r w:rsidRPr="00DD0871">
                    <w:rPr>
                      <w:rFonts w:ascii="Times New Roman" w:eastAsia="Times New Roman" w:hAnsi="Times New Roman" w:cs="Times New Roman"/>
                      <w:sz w:val="24"/>
                      <w:szCs w:val="24"/>
                    </w:rPr>
                    <w:t xml:space="preserve"> cirrhosis (see text). </w:t>
                  </w:r>
                </w:p>
              </w:tc>
            </w:tr>
          </w:tbl>
          <w:p w:rsidR="00DD0871" w:rsidRPr="00DD0871" w:rsidRDefault="00DD0871" w:rsidP="00DD0871">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7598"/>
            </w:tblGrid>
            <w:tr w:rsidR="00DD0871" w:rsidRPr="00DD0871">
              <w:trPr>
                <w:tblCellSpacing w:w="0" w:type="dxa"/>
              </w:trPr>
              <w:tc>
                <w:tcPr>
                  <w:tcW w:w="5000" w:type="pct"/>
                  <w:shd w:val="clear" w:color="auto" w:fill="FFFFFF"/>
                  <w:vAlign w:val="center"/>
                  <w:hideMark/>
                </w:tcPr>
                <w:p w:rsidR="00DD0871" w:rsidRPr="00DD0871" w:rsidRDefault="00DD0871" w:rsidP="00DD0871">
                  <w:pPr>
                    <w:spacing w:after="0" w:line="240" w:lineRule="auto"/>
                    <w:rPr>
                      <w:rFonts w:ascii="Times New Roman" w:eastAsia="Times New Roman" w:hAnsi="Times New Roman" w:cs="Times New Roman"/>
                      <w:sz w:val="24"/>
                      <w:szCs w:val="24"/>
                    </w:rPr>
                  </w:pPr>
                  <w:bookmarkStart w:id="69" w:name="P023337"/>
                  <w:bookmarkEnd w:id="69"/>
                  <w:r w:rsidRPr="00DD0871">
                    <w:rPr>
                      <w:rFonts w:ascii="Times New Roman" w:eastAsia="Times New Roman" w:hAnsi="Times New Roman" w:cs="Times New Roman"/>
                      <w:sz w:val="24"/>
                      <w:szCs w:val="24"/>
                    </w:rPr>
                    <w:t xml:space="preserve">Several subtypes of this disorder have been proposed which have differing immunological markers. Classical (type I) autoimmune hepatitis is </w:t>
                  </w:r>
                  <w:proofErr w:type="spellStart"/>
                  <w:r w:rsidRPr="00DD0871">
                    <w:rPr>
                      <w:rFonts w:ascii="Times New Roman" w:eastAsia="Times New Roman" w:hAnsi="Times New Roman" w:cs="Times New Roman"/>
                      <w:sz w:val="24"/>
                      <w:szCs w:val="24"/>
                    </w:rPr>
                    <w:t>characterised</w:t>
                  </w:r>
                  <w:proofErr w:type="spellEnd"/>
                  <w:r w:rsidRPr="00DD0871">
                    <w:rPr>
                      <w:rFonts w:ascii="Times New Roman" w:eastAsia="Times New Roman" w:hAnsi="Times New Roman" w:cs="Times New Roman"/>
                      <w:sz w:val="24"/>
                      <w:szCs w:val="24"/>
                    </w:rPr>
                    <w:t xml:space="preserve"> by a high frequency of other autoimmune disorders such as Graves' disease. Type I autoimmune hepatitis is associated with HLA-DR3 and DR4, particularly HLA-DRB3*0101 and HLA-DRB1*0401. These patients have high </w:t>
                  </w:r>
                  <w:proofErr w:type="spellStart"/>
                  <w:r w:rsidRPr="00DD0871">
                    <w:rPr>
                      <w:rFonts w:ascii="Times New Roman" w:eastAsia="Times New Roman" w:hAnsi="Times New Roman" w:cs="Times New Roman"/>
                      <w:sz w:val="24"/>
                      <w:szCs w:val="24"/>
                    </w:rPr>
                    <w:t>titres</w:t>
                  </w:r>
                  <w:proofErr w:type="spellEnd"/>
                  <w:r w:rsidRPr="00DD0871">
                    <w:rPr>
                      <w:rFonts w:ascii="Times New Roman" w:eastAsia="Times New Roman" w:hAnsi="Times New Roman" w:cs="Times New Roman"/>
                      <w:sz w:val="24"/>
                      <w:szCs w:val="24"/>
                    </w:rPr>
                    <w:t xml:space="preserve"> of antinuclear and anti-smooth muscle antibodies but none of these antibodies is </w:t>
                  </w:r>
                  <w:proofErr w:type="spellStart"/>
                  <w:r w:rsidRPr="00DD0871">
                    <w:rPr>
                      <w:rFonts w:ascii="Times New Roman" w:eastAsia="Times New Roman" w:hAnsi="Times New Roman" w:cs="Times New Roman"/>
                      <w:sz w:val="24"/>
                      <w:szCs w:val="24"/>
                    </w:rPr>
                    <w:t>cytotoxic</w:t>
                  </w:r>
                  <w:proofErr w:type="spellEnd"/>
                  <w:r w:rsidRPr="00DD0871">
                    <w:rPr>
                      <w:rFonts w:ascii="Times New Roman" w:eastAsia="Times New Roman" w:hAnsi="Times New Roman" w:cs="Times New Roman"/>
                      <w:sz w:val="24"/>
                      <w:szCs w:val="24"/>
                    </w:rPr>
                    <w:t xml:space="preserve">. A suggested hypothesis for the development of type I autoimmune hepatitis is the aberrant expression on the </w:t>
                  </w:r>
                  <w:proofErr w:type="spellStart"/>
                  <w:r w:rsidRPr="00DD0871">
                    <w:rPr>
                      <w:rFonts w:ascii="Times New Roman" w:eastAsia="Times New Roman" w:hAnsi="Times New Roman" w:cs="Times New Roman"/>
                      <w:sz w:val="24"/>
                      <w:szCs w:val="24"/>
                    </w:rPr>
                    <w:t>hepatocyte</w:t>
                  </w:r>
                  <w:proofErr w:type="spellEnd"/>
                  <w:r w:rsidRPr="00DD0871">
                    <w:rPr>
                      <w:rFonts w:ascii="Times New Roman" w:eastAsia="Times New Roman" w:hAnsi="Times New Roman" w:cs="Times New Roman"/>
                      <w:sz w:val="24"/>
                      <w:szCs w:val="24"/>
                    </w:rPr>
                    <w:t xml:space="preserve"> of HLA antigen, influenced by viral, genetic and environmental factors. Type II autoimmune hepatitis is </w:t>
                  </w:r>
                  <w:proofErr w:type="spellStart"/>
                  <w:r w:rsidRPr="00DD0871">
                    <w:rPr>
                      <w:rFonts w:ascii="Times New Roman" w:eastAsia="Times New Roman" w:hAnsi="Times New Roman" w:cs="Times New Roman"/>
                      <w:sz w:val="24"/>
                      <w:szCs w:val="24"/>
                    </w:rPr>
                    <w:t>characterised</w:t>
                  </w:r>
                  <w:proofErr w:type="spellEnd"/>
                  <w:r w:rsidRPr="00DD0871">
                    <w:rPr>
                      <w:rFonts w:ascii="Times New Roman" w:eastAsia="Times New Roman" w:hAnsi="Times New Roman" w:cs="Times New Roman"/>
                      <w:sz w:val="24"/>
                      <w:szCs w:val="24"/>
                    </w:rPr>
                    <w:t xml:space="preserve"> by the presence of anti-LKM (liver-kidney </w:t>
                  </w:r>
                  <w:proofErr w:type="spellStart"/>
                  <w:r w:rsidRPr="00DD0871">
                    <w:rPr>
                      <w:rFonts w:ascii="Times New Roman" w:eastAsia="Times New Roman" w:hAnsi="Times New Roman" w:cs="Times New Roman"/>
                      <w:sz w:val="24"/>
                      <w:szCs w:val="24"/>
                    </w:rPr>
                    <w:t>microsomal</w:t>
                  </w:r>
                  <w:proofErr w:type="spellEnd"/>
                  <w:r w:rsidRPr="00DD0871">
                    <w:rPr>
                      <w:rFonts w:ascii="Times New Roman" w:eastAsia="Times New Roman" w:hAnsi="Times New Roman" w:cs="Times New Roman"/>
                      <w:sz w:val="24"/>
                      <w:szCs w:val="24"/>
                    </w:rPr>
                    <w:t xml:space="preserve">) antibodies and lack of antinuclear and anti-smooth muscle antibodies. Anti-LKM antibodies </w:t>
                  </w:r>
                  <w:proofErr w:type="spellStart"/>
                  <w:r w:rsidRPr="00DD0871">
                    <w:rPr>
                      <w:rFonts w:ascii="Times New Roman" w:eastAsia="Times New Roman" w:hAnsi="Times New Roman" w:cs="Times New Roman"/>
                      <w:sz w:val="24"/>
                      <w:szCs w:val="24"/>
                    </w:rPr>
                    <w:t>recognise</w:t>
                  </w:r>
                  <w:proofErr w:type="spellEnd"/>
                  <w:r w:rsidRPr="00DD0871">
                    <w:rPr>
                      <w:rFonts w:ascii="Times New Roman" w:eastAsia="Times New Roman" w:hAnsi="Times New Roman" w:cs="Times New Roman"/>
                      <w:sz w:val="24"/>
                      <w:szCs w:val="24"/>
                    </w:rPr>
                    <w:t xml:space="preserve"> </w:t>
                  </w:r>
                  <w:proofErr w:type="spellStart"/>
                  <w:r w:rsidRPr="00DD0871">
                    <w:rPr>
                      <w:rFonts w:ascii="Times New Roman" w:eastAsia="Times New Roman" w:hAnsi="Times New Roman" w:cs="Times New Roman"/>
                      <w:sz w:val="24"/>
                      <w:szCs w:val="24"/>
                    </w:rPr>
                    <w:t>cytochrome</w:t>
                  </w:r>
                  <w:proofErr w:type="spellEnd"/>
                  <w:r w:rsidRPr="00DD0871">
                    <w:rPr>
                      <w:rFonts w:ascii="Times New Roman" w:eastAsia="Times New Roman" w:hAnsi="Times New Roman" w:cs="Times New Roman"/>
                      <w:sz w:val="24"/>
                      <w:szCs w:val="24"/>
                    </w:rPr>
                    <w:t xml:space="preserve"> P450-IID6, which is expressed on the </w:t>
                  </w:r>
                  <w:proofErr w:type="spellStart"/>
                  <w:r w:rsidRPr="00DD0871">
                    <w:rPr>
                      <w:rFonts w:ascii="Times New Roman" w:eastAsia="Times New Roman" w:hAnsi="Times New Roman" w:cs="Times New Roman"/>
                      <w:sz w:val="24"/>
                      <w:szCs w:val="24"/>
                    </w:rPr>
                    <w:t>hepatocyte</w:t>
                  </w:r>
                  <w:proofErr w:type="spellEnd"/>
                  <w:r w:rsidRPr="00DD0871">
                    <w:rPr>
                      <w:rFonts w:ascii="Times New Roman" w:eastAsia="Times New Roman" w:hAnsi="Times New Roman" w:cs="Times New Roman"/>
                      <w:sz w:val="24"/>
                      <w:szCs w:val="24"/>
                    </w:rPr>
                    <w:t xml:space="preserve"> membrane. In Type III, serum immunoglobulin levels are elevated whilst the antibodies described above are absent, and antibodies against soluble liver antigen are present. The </w:t>
                  </w:r>
                  <w:proofErr w:type="spellStart"/>
                  <w:r w:rsidRPr="00DD0871">
                    <w:rPr>
                      <w:rFonts w:ascii="Times New Roman" w:eastAsia="Times New Roman" w:hAnsi="Times New Roman" w:cs="Times New Roman"/>
                      <w:sz w:val="24"/>
                      <w:szCs w:val="24"/>
                    </w:rPr>
                    <w:t>histopathological</w:t>
                  </w:r>
                  <w:proofErr w:type="spellEnd"/>
                  <w:r w:rsidRPr="00DD0871">
                    <w:rPr>
                      <w:rFonts w:ascii="Times New Roman" w:eastAsia="Times New Roman" w:hAnsi="Times New Roman" w:cs="Times New Roman"/>
                      <w:sz w:val="24"/>
                      <w:szCs w:val="24"/>
                    </w:rPr>
                    <w:t xml:space="preserve"> features of all forms of autoimmune hepatitis are similar. </w:t>
                  </w:r>
                </w:p>
              </w:tc>
            </w:tr>
          </w:tbl>
          <w:p w:rsidR="00DD0871" w:rsidRPr="00DD0871" w:rsidRDefault="00DD0871" w:rsidP="00DD0871">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7598"/>
            </w:tblGrid>
            <w:tr w:rsidR="00DD0871" w:rsidRPr="00DD0871">
              <w:trPr>
                <w:tblCellSpacing w:w="0" w:type="dxa"/>
              </w:trPr>
              <w:tc>
                <w:tcPr>
                  <w:tcW w:w="5000" w:type="pct"/>
                  <w:shd w:val="clear" w:color="auto" w:fill="FFFFFF"/>
                  <w:vAlign w:val="center"/>
                  <w:hideMark/>
                </w:tcPr>
                <w:p w:rsidR="00DD0871" w:rsidRPr="00DD0871" w:rsidRDefault="00DD0871" w:rsidP="00DD0871">
                  <w:pPr>
                    <w:spacing w:after="0" w:line="240" w:lineRule="auto"/>
                    <w:rPr>
                      <w:rFonts w:ascii="Times New Roman" w:eastAsia="Times New Roman" w:hAnsi="Times New Roman" w:cs="Times New Roman"/>
                      <w:sz w:val="24"/>
                      <w:szCs w:val="24"/>
                    </w:rPr>
                  </w:pPr>
                  <w:bookmarkStart w:id="70" w:name="HC023207"/>
                  <w:bookmarkEnd w:id="70"/>
                  <w:r w:rsidRPr="00DD0871">
                    <w:rPr>
                      <w:rFonts w:ascii="Times New Roman" w:eastAsia="Times New Roman" w:hAnsi="Times New Roman" w:cs="Times New Roman"/>
                      <w:sz w:val="24"/>
                      <w:szCs w:val="24"/>
                      <w:highlight w:val="yellow"/>
                    </w:rPr>
                    <w:t>Clinical features</w:t>
                  </w:r>
                  <w:r w:rsidRPr="00DD0871">
                    <w:rPr>
                      <w:rFonts w:ascii="Times New Roman" w:eastAsia="Times New Roman" w:hAnsi="Times New Roman" w:cs="Times New Roman"/>
                      <w:sz w:val="24"/>
                      <w:szCs w:val="24"/>
                    </w:rPr>
                    <w:t xml:space="preserve"> </w:t>
                  </w:r>
                </w:p>
              </w:tc>
            </w:tr>
          </w:tbl>
          <w:p w:rsidR="00DD0871" w:rsidRPr="00DD0871" w:rsidRDefault="00DD0871" w:rsidP="00DD0871">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7598"/>
            </w:tblGrid>
            <w:tr w:rsidR="00DD0871" w:rsidRPr="00DD0871">
              <w:trPr>
                <w:tblCellSpacing w:w="0" w:type="dxa"/>
              </w:trPr>
              <w:tc>
                <w:tcPr>
                  <w:tcW w:w="5000" w:type="pct"/>
                  <w:shd w:val="clear" w:color="auto" w:fill="FFFFFF"/>
                  <w:vAlign w:val="center"/>
                  <w:hideMark/>
                </w:tcPr>
                <w:p w:rsidR="00DD0871" w:rsidRPr="00DD0871" w:rsidRDefault="00DD0871" w:rsidP="00DD0871">
                  <w:pPr>
                    <w:spacing w:after="0" w:line="240" w:lineRule="auto"/>
                    <w:rPr>
                      <w:rFonts w:ascii="Times New Roman" w:eastAsia="Times New Roman" w:hAnsi="Times New Roman" w:cs="Times New Roman"/>
                      <w:sz w:val="24"/>
                      <w:szCs w:val="24"/>
                    </w:rPr>
                  </w:pPr>
                  <w:bookmarkStart w:id="71" w:name="P023338"/>
                  <w:bookmarkEnd w:id="71"/>
                  <w:r w:rsidRPr="00DD0871">
                    <w:rPr>
                      <w:rFonts w:ascii="Times New Roman" w:eastAsia="Times New Roman" w:hAnsi="Times New Roman" w:cs="Times New Roman"/>
                      <w:sz w:val="24"/>
                      <w:szCs w:val="24"/>
                    </w:rPr>
                    <w:t xml:space="preserve">The onset is usually insidious, with fatigue, anorexia and jaundice. In about one-quarter of patients the onset is acute, resembling viral hepatitis, but resolution does not occur. This acute presentation can lead to extensive liver necrosis and liver failure. Other features include fever, </w:t>
                  </w:r>
                  <w:proofErr w:type="spellStart"/>
                  <w:r w:rsidRPr="00DD0871">
                    <w:rPr>
                      <w:rFonts w:ascii="Times New Roman" w:eastAsia="Times New Roman" w:hAnsi="Times New Roman" w:cs="Times New Roman"/>
                      <w:sz w:val="24"/>
                      <w:szCs w:val="24"/>
                    </w:rPr>
                    <w:t>arthralgia</w:t>
                  </w:r>
                  <w:proofErr w:type="spellEnd"/>
                  <w:r w:rsidRPr="00DD0871">
                    <w:rPr>
                      <w:rFonts w:ascii="Times New Roman" w:eastAsia="Times New Roman" w:hAnsi="Times New Roman" w:cs="Times New Roman"/>
                      <w:sz w:val="24"/>
                      <w:szCs w:val="24"/>
                    </w:rPr>
                    <w:t xml:space="preserve">, </w:t>
                  </w:r>
                  <w:proofErr w:type="spellStart"/>
                  <w:r w:rsidRPr="00DD0871">
                    <w:rPr>
                      <w:rFonts w:ascii="Times New Roman" w:eastAsia="Times New Roman" w:hAnsi="Times New Roman" w:cs="Times New Roman"/>
                      <w:sz w:val="24"/>
                      <w:szCs w:val="24"/>
                    </w:rPr>
                    <w:t>vitiligo</w:t>
                  </w:r>
                  <w:proofErr w:type="spellEnd"/>
                  <w:r w:rsidRPr="00DD0871">
                    <w:rPr>
                      <w:rFonts w:ascii="Times New Roman" w:eastAsia="Times New Roman" w:hAnsi="Times New Roman" w:cs="Times New Roman"/>
                      <w:sz w:val="24"/>
                      <w:szCs w:val="24"/>
                    </w:rPr>
                    <w:t xml:space="preserve"> and </w:t>
                  </w:r>
                  <w:proofErr w:type="spellStart"/>
                  <w:r w:rsidRPr="00DD0871">
                    <w:rPr>
                      <w:rFonts w:ascii="Times New Roman" w:eastAsia="Times New Roman" w:hAnsi="Times New Roman" w:cs="Times New Roman"/>
                      <w:sz w:val="24"/>
                      <w:szCs w:val="24"/>
                    </w:rPr>
                    <w:t>epistaxis</w:t>
                  </w:r>
                  <w:proofErr w:type="spellEnd"/>
                  <w:r w:rsidRPr="00DD0871">
                    <w:rPr>
                      <w:rFonts w:ascii="Times New Roman" w:eastAsia="Times New Roman" w:hAnsi="Times New Roman" w:cs="Times New Roman"/>
                      <w:sz w:val="24"/>
                      <w:szCs w:val="24"/>
                    </w:rPr>
                    <w:t xml:space="preserve">. </w:t>
                  </w:r>
                  <w:proofErr w:type="spellStart"/>
                  <w:r w:rsidRPr="00DD0871">
                    <w:rPr>
                      <w:rFonts w:ascii="Times New Roman" w:eastAsia="Times New Roman" w:hAnsi="Times New Roman" w:cs="Times New Roman"/>
                      <w:sz w:val="24"/>
                      <w:szCs w:val="24"/>
                    </w:rPr>
                    <w:t>Amenorrhoea</w:t>
                  </w:r>
                  <w:proofErr w:type="spellEnd"/>
                  <w:r w:rsidRPr="00DD0871">
                    <w:rPr>
                      <w:rFonts w:ascii="Times New Roman" w:eastAsia="Times New Roman" w:hAnsi="Times New Roman" w:cs="Times New Roman"/>
                      <w:sz w:val="24"/>
                      <w:szCs w:val="24"/>
                    </w:rPr>
                    <w:t xml:space="preserve"> is the rule but general health may be good. Jaundice is mild to moderate or occasionally absent, but signs of chronic liver disease, especially spider </w:t>
                  </w:r>
                  <w:proofErr w:type="spellStart"/>
                  <w:r w:rsidRPr="00DD0871">
                    <w:rPr>
                      <w:rFonts w:ascii="Times New Roman" w:eastAsia="Times New Roman" w:hAnsi="Times New Roman" w:cs="Times New Roman"/>
                      <w:sz w:val="24"/>
                      <w:szCs w:val="24"/>
                    </w:rPr>
                    <w:t>naevi</w:t>
                  </w:r>
                  <w:proofErr w:type="spellEnd"/>
                  <w:r w:rsidRPr="00DD0871">
                    <w:rPr>
                      <w:rFonts w:ascii="Times New Roman" w:eastAsia="Times New Roman" w:hAnsi="Times New Roman" w:cs="Times New Roman"/>
                      <w:sz w:val="24"/>
                      <w:szCs w:val="24"/>
                    </w:rPr>
                    <w:t xml:space="preserve"> and </w:t>
                  </w:r>
                  <w:proofErr w:type="spellStart"/>
                  <w:r w:rsidRPr="00DD0871">
                    <w:rPr>
                      <w:rFonts w:ascii="Times New Roman" w:eastAsia="Times New Roman" w:hAnsi="Times New Roman" w:cs="Times New Roman"/>
                      <w:sz w:val="24"/>
                      <w:szCs w:val="24"/>
                    </w:rPr>
                    <w:t>hepatosplenomegaly</w:t>
                  </w:r>
                  <w:proofErr w:type="spellEnd"/>
                  <w:r w:rsidRPr="00DD0871">
                    <w:rPr>
                      <w:rFonts w:ascii="Times New Roman" w:eastAsia="Times New Roman" w:hAnsi="Times New Roman" w:cs="Times New Roman"/>
                      <w:sz w:val="24"/>
                      <w:szCs w:val="24"/>
                    </w:rPr>
                    <w:t>, are usually present. Some patients have a '</w:t>
                  </w:r>
                  <w:proofErr w:type="spellStart"/>
                  <w:r w:rsidRPr="00DD0871">
                    <w:rPr>
                      <w:rFonts w:ascii="Times New Roman" w:eastAsia="Times New Roman" w:hAnsi="Times New Roman" w:cs="Times New Roman"/>
                      <w:sz w:val="24"/>
                      <w:szCs w:val="24"/>
                    </w:rPr>
                    <w:t>Cushingoid</w:t>
                  </w:r>
                  <w:proofErr w:type="spellEnd"/>
                  <w:r w:rsidRPr="00DD0871">
                    <w:rPr>
                      <w:rFonts w:ascii="Times New Roman" w:eastAsia="Times New Roman" w:hAnsi="Times New Roman" w:cs="Times New Roman"/>
                      <w:sz w:val="24"/>
                      <w:szCs w:val="24"/>
                    </w:rPr>
                    <w:t xml:space="preserve">' face with acne, </w:t>
                  </w:r>
                  <w:proofErr w:type="spellStart"/>
                  <w:r w:rsidRPr="00DD0871">
                    <w:rPr>
                      <w:rFonts w:ascii="Times New Roman" w:eastAsia="Times New Roman" w:hAnsi="Times New Roman" w:cs="Times New Roman"/>
                      <w:sz w:val="24"/>
                      <w:szCs w:val="24"/>
                    </w:rPr>
                    <w:t>hirsutism</w:t>
                  </w:r>
                  <w:proofErr w:type="spellEnd"/>
                  <w:r w:rsidRPr="00DD0871">
                    <w:rPr>
                      <w:rFonts w:ascii="Times New Roman" w:eastAsia="Times New Roman" w:hAnsi="Times New Roman" w:cs="Times New Roman"/>
                      <w:sz w:val="24"/>
                      <w:szCs w:val="24"/>
                    </w:rPr>
                    <w:t xml:space="preserve"> and pink </w:t>
                  </w:r>
                  <w:proofErr w:type="spellStart"/>
                  <w:r w:rsidRPr="00DD0871">
                    <w:rPr>
                      <w:rFonts w:ascii="Times New Roman" w:eastAsia="Times New Roman" w:hAnsi="Times New Roman" w:cs="Times New Roman"/>
                      <w:sz w:val="24"/>
                      <w:szCs w:val="24"/>
                    </w:rPr>
                    <w:t>cutaneous</w:t>
                  </w:r>
                  <w:proofErr w:type="spellEnd"/>
                  <w:r w:rsidRPr="00DD0871">
                    <w:rPr>
                      <w:rFonts w:ascii="Times New Roman" w:eastAsia="Times New Roman" w:hAnsi="Times New Roman" w:cs="Times New Roman"/>
                      <w:sz w:val="24"/>
                      <w:szCs w:val="24"/>
                    </w:rPr>
                    <w:t xml:space="preserve"> </w:t>
                  </w:r>
                  <w:proofErr w:type="spellStart"/>
                  <w:r w:rsidRPr="00DD0871">
                    <w:rPr>
                      <w:rFonts w:ascii="Times New Roman" w:eastAsia="Times New Roman" w:hAnsi="Times New Roman" w:cs="Times New Roman"/>
                      <w:sz w:val="24"/>
                      <w:szCs w:val="24"/>
                    </w:rPr>
                    <w:t>striae</w:t>
                  </w:r>
                  <w:proofErr w:type="spellEnd"/>
                  <w:r w:rsidRPr="00DD0871">
                    <w:rPr>
                      <w:rFonts w:ascii="Times New Roman" w:eastAsia="Times New Roman" w:hAnsi="Times New Roman" w:cs="Times New Roman"/>
                      <w:sz w:val="24"/>
                      <w:szCs w:val="24"/>
                    </w:rPr>
                    <w:t xml:space="preserve">, especially on the thighs and abdomen. </w:t>
                  </w:r>
                </w:p>
              </w:tc>
            </w:tr>
          </w:tbl>
          <w:p w:rsidR="00DD0871" w:rsidRPr="00DD0871" w:rsidRDefault="00DD0871" w:rsidP="00DD0871">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7598"/>
            </w:tblGrid>
            <w:tr w:rsidR="00DD0871" w:rsidRPr="00DD0871">
              <w:trPr>
                <w:tblCellSpacing w:w="0" w:type="dxa"/>
              </w:trPr>
              <w:tc>
                <w:tcPr>
                  <w:tcW w:w="5000" w:type="pct"/>
                  <w:shd w:val="clear" w:color="auto" w:fill="FFFFFF"/>
                  <w:vAlign w:val="center"/>
                  <w:hideMark/>
                </w:tcPr>
                <w:p w:rsidR="00DD0871" w:rsidRPr="00DD0871" w:rsidRDefault="00DD0871" w:rsidP="00DD0871">
                  <w:pPr>
                    <w:spacing w:after="0" w:line="240" w:lineRule="auto"/>
                    <w:rPr>
                      <w:rFonts w:ascii="Times New Roman" w:eastAsia="Times New Roman" w:hAnsi="Times New Roman" w:cs="Times New Roman"/>
                      <w:sz w:val="24"/>
                      <w:szCs w:val="24"/>
                    </w:rPr>
                  </w:pPr>
                  <w:bookmarkStart w:id="72" w:name="P023339"/>
                  <w:bookmarkEnd w:id="72"/>
                  <w:r w:rsidRPr="00DD0871">
                    <w:rPr>
                      <w:rFonts w:ascii="Times New Roman" w:eastAsia="Times New Roman" w:hAnsi="Times New Roman" w:cs="Times New Roman"/>
                      <w:sz w:val="24"/>
                      <w:szCs w:val="24"/>
                    </w:rPr>
                    <w:t xml:space="preserve">Approximately two-thirds of patients have associated autoimmune disease such as Hashimoto's </w:t>
                  </w:r>
                  <w:proofErr w:type="spellStart"/>
                  <w:r w:rsidRPr="00DD0871">
                    <w:rPr>
                      <w:rFonts w:ascii="Times New Roman" w:eastAsia="Times New Roman" w:hAnsi="Times New Roman" w:cs="Times New Roman"/>
                      <w:sz w:val="24"/>
                      <w:szCs w:val="24"/>
                    </w:rPr>
                    <w:t>thyroiditis</w:t>
                  </w:r>
                  <w:proofErr w:type="spellEnd"/>
                  <w:r w:rsidRPr="00DD0871">
                    <w:rPr>
                      <w:rFonts w:ascii="Times New Roman" w:eastAsia="Times New Roman" w:hAnsi="Times New Roman" w:cs="Times New Roman"/>
                      <w:sz w:val="24"/>
                      <w:szCs w:val="24"/>
                    </w:rPr>
                    <w:t xml:space="preserve">, renal tubular acidosis and rheumatoid arthritis. </w:t>
                  </w:r>
                </w:p>
              </w:tc>
            </w:tr>
          </w:tbl>
          <w:p w:rsidR="00DD0871" w:rsidRPr="00DD0871" w:rsidRDefault="00DD0871" w:rsidP="00DD0871">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7598"/>
            </w:tblGrid>
            <w:tr w:rsidR="00DD0871" w:rsidRPr="00DD0871">
              <w:trPr>
                <w:tblCellSpacing w:w="0" w:type="dxa"/>
              </w:trPr>
              <w:tc>
                <w:tcPr>
                  <w:tcW w:w="5000" w:type="pct"/>
                  <w:shd w:val="clear" w:color="auto" w:fill="FFFFFF"/>
                  <w:vAlign w:val="center"/>
                  <w:hideMark/>
                </w:tcPr>
                <w:p w:rsidR="00DD0871" w:rsidRPr="00DD0871" w:rsidRDefault="00DD0871" w:rsidP="00DD0871">
                  <w:pPr>
                    <w:spacing w:after="0" w:line="240" w:lineRule="auto"/>
                    <w:rPr>
                      <w:rFonts w:ascii="Times New Roman" w:eastAsia="Times New Roman" w:hAnsi="Times New Roman" w:cs="Times New Roman"/>
                      <w:sz w:val="24"/>
                      <w:szCs w:val="24"/>
                    </w:rPr>
                  </w:pPr>
                  <w:bookmarkStart w:id="73" w:name="HC023208"/>
                  <w:bookmarkEnd w:id="73"/>
                  <w:r w:rsidRPr="00DD0871">
                    <w:rPr>
                      <w:rFonts w:ascii="Times New Roman" w:eastAsia="Times New Roman" w:hAnsi="Times New Roman" w:cs="Times New Roman"/>
                      <w:sz w:val="24"/>
                      <w:szCs w:val="24"/>
                      <w:highlight w:val="yellow"/>
                    </w:rPr>
                    <w:t>Diagnosis and investigations</w:t>
                  </w:r>
                  <w:r w:rsidRPr="00DD0871">
                    <w:rPr>
                      <w:rFonts w:ascii="Times New Roman" w:eastAsia="Times New Roman" w:hAnsi="Times New Roman" w:cs="Times New Roman"/>
                      <w:sz w:val="24"/>
                      <w:szCs w:val="24"/>
                    </w:rPr>
                    <w:t xml:space="preserve"> </w:t>
                  </w:r>
                </w:p>
              </w:tc>
            </w:tr>
          </w:tbl>
          <w:p w:rsidR="00DD0871" w:rsidRPr="00DD0871" w:rsidRDefault="00DD0871" w:rsidP="00DD0871">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7598"/>
            </w:tblGrid>
            <w:tr w:rsidR="00DD0871" w:rsidRPr="00DD0871">
              <w:trPr>
                <w:tblCellSpacing w:w="0" w:type="dxa"/>
              </w:trPr>
              <w:tc>
                <w:tcPr>
                  <w:tcW w:w="5000" w:type="pct"/>
                  <w:vAlign w:val="center"/>
                  <w:hideMark/>
                </w:tcPr>
                <w:p w:rsidR="00DD0871" w:rsidRPr="00DD0871" w:rsidRDefault="00DD0871" w:rsidP="00DD0871">
                  <w:pPr>
                    <w:spacing w:after="0" w:line="240" w:lineRule="auto"/>
                    <w:jc w:val="right"/>
                    <w:rPr>
                      <w:rFonts w:ascii="Times New Roman" w:eastAsia="Times New Roman" w:hAnsi="Times New Roman" w:cs="Times New Roman"/>
                      <w:sz w:val="24"/>
                      <w:szCs w:val="24"/>
                    </w:rPr>
                  </w:pPr>
                </w:p>
              </w:tc>
            </w:tr>
            <w:tr w:rsidR="00DD0871" w:rsidRPr="00DD0871">
              <w:trPr>
                <w:tblCellSpacing w:w="0" w:type="dxa"/>
              </w:trPr>
              <w:tc>
                <w:tcPr>
                  <w:tcW w:w="5000" w:type="pct"/>
                  <w:shd w:val="clear" w:color="auto" w:fill="EEEEEE"/>
                  <w:vAlign w:val="center"/>
                  <w:hideMark/>
                </w:tcPr>
                <w:p w:rsidR="00DD0871" w:rsidRPr="00DD0871" w:rsidRDefault="00DD0871" w:rsidP="00DD0871">
                  <w:pPr>
                    <w:spacing w:after="0" w:line="240" w:lineRule="auto"/>
                    <w:jc w:val="right"/>
                    <w:rPr>
                      <w:rFonts w:ascii="Times New Roman" w:eastAsia="Times New Roman" w:hAnsi="Times New Roman" w:cs="Times New Roman"/>
                      <w:sz w:val="24"/>
                      <w:szCs w:val="24"/>
                    </w:rPr>
                  </w:pPr>
                  <w:bookmarkStart w:id="74" w:name="P0978"/>
                  <w:bookmarkEnd w:id="74"/>
                </w:p>
              </w:tc>
            </w:tr>
            <w:tr w:rsidR="00DD0871" w:rsidRPr="00DD0871">
              <w:trPr>
                <w:tblCellSpacing w:w="0" w:type="dxa"/>
              </w:trPr>
              <w:tc>
                <w:tcPr>
                  <w:tcW w:w="5000" w:type="pct"/>
                  <w:vAlign w:val="center"/>
                  <w:hideMark/>
                </w:tcPr>
                <w:p w:rsidR="00DD0871" w:rsidRPr="00DD0871" w:rsidRDefault="00DD0871" w:rsidP="00DD0871">
                  <w:pPr>
                    <w:spacing w:after="0" w:line="240" w:lineRule="auto"/>
                    <w:jc w:val="right"/>
                    <w:rPr>
                      <w:rFonts w:ascii="Times New Roman" w:eastAsia="Times New Roman" w:hAnsi="Times New Roman" w:cs="Times New Roman"/>
                      <w:sz w:val="24"/>
                      <w:szCs w:val="24"/>
                    </w:rPr>
                  </w:pPr>
                </w:p>
              </w:tc>
            </w:tr>
          </w:tbl>
          <w:p w:rsidR="00DD0871" w:rsidRPr="00DD0871" w:rsidRDefault="00DD0871" w:rsidP="00DD0871">
            <w:pPr>
              <w:spacing w:after="0" w:line="240" w:lineRule="auto"/>
              <w:rPr>
                <w:rFonts w:ascii="Times New Roman" w:eastAsia="Times New Roman" w:hAnsi="Times New Roman" w:cs="Times New Roman"/>
                <w:vanish/>
                <w:sz w:val="24"/>
                <w:szCs w:val="24"/>
              </w:rPr>
            </w:pPr>
          </w:p>
          <w:tbl>
            <w:tblPr>
              <w:tblW w:w="4000" w:type="pct"/>
              <w:jc w:val="center"/>
              <w:tblCellSpacing w:w="0" w:type="dxa"/>
              <w:tblCellMar>
                <w:left w:w="0" w:type="dxa"/>
                <w:right w:w="0" w:type="dxa"/>
              </w:tblCellMar>
              <w:tblLook w:val="04A0"/>
            </w:tblPr>
            <w:tblGrid>
              <w:gridCol w:w="6078"/>
            </w:tblGrid>
            <w:tr w:rsidR="00DD0871" w:rsidRPr="00DD0871">
              <w:trPr>
                <w:tblCellSpacing w:w="0" w:type="dxa"/>
                <w:jc w:val="center"/>
              </w:trPr>
              <w:tc>
                <w:tcPr>
                  <w:tcW w:w="5000" w:type="pct"/>
                  <w:vAlign w:val="center"/>
                  <w:hideMark/>
                </w:tcPr>
                <w:p w:rsidR="00DD0871" w:rsidRPr="00DD0871" w:rsidRDefault="00DD0871" w:rsidP="00DD0871">
                  <w:pPr>
                    <w:spacing w:after="0" w:line="240" w:lineRule="auto"/>
                    <w:rPr>
                      <w:rFonts w:ascii="Times New Roman" w:eastAsia="Times New Roman" w:hAnsi="Times New Roman" w:cs="Times New Roman"/>
                      <w:sz w:val="24"/>
                      <w:szCs w:val="24"/>
                    </w:rPr>
                  </w:pPr>
                  <w:bookmarkStart w:id="75" w:name="B023056"/>
                  <w:bookmarkEnd w:id="75"/>
                  <w:r w:rsidRPr="00DD0871">
                    <w:rPr>
                      <w:rFonts w:ascii="Times New Roman" w:eastAsia="Times New Roman" w:hAnsi="Times New Roman" w:cs="Times New Roman"/>
                      <w:sz w:val="24"/>
                      <w:szCs w:val="24"/>
                    </w:rPr>
                    <w:t>23.56 IMMUNOSUPPRESSION IN AUTOIMMUNE HEPATITIS</w:t>
                  </w:r>
                </w:p>
              </w:tc>
            </w:tr>
          </w:tbl>
          <w:p w:rsidR="00DD0871" w:rsidRPr="00DD0871" w:rsidRDefault="00DD0871" w:rsidP="00DD0871">
            <w:pPr>
              <w:spacing w:after="0" w:line="240" w:lineRule="auto"/>
              <w:rPr>
                <w:rFonts w:ascii="Times New Roman" w:eastAsia="Times New Roman" w:hAnsi="Times New Roman" w:cs="Times New Roman"/>
                <w:vanish/>
                <w:sz w:val="24"/>
                <w:szCs w:val="24"/>
              </w:rPr>
            </w:pPr>
            <w:bookmarkStart w:id="76" w:name="TI023041"/>
            <w:bookmarkEnd w:id="76"/>
          </w:p>
          <w:tbl>
            <w:tblPr>
              <w:tblW w:w="0" w:type="auto"/>
              <w:jc w:val="center"/>
              <w:tblCellSpacing w:w="0" w:type="dxa"/>
              <w:tblCellMar>
                <w:top w:w="15" w:type="dxa"/>
                <w:left w:w="15" w:type="dxa"/>
                <w:bottom w:w="15" w:type="dxa"/>
                <w:right w:w="15" w:type="dxa"/>
              </w:tblCellMar>
              <w:tblLook w:val="04A0"/>
            </w:tblPr>
            <w:tblGrid>
              <w:gridCol w:w="7598"/>
            </w:tblGrid>
            <w:tr w:rsidR="00DD0871" w:rsidRPr="00DD0871">
              <w:trPr>
                <w:tblCellSpacing w:w="0" w:type="dxa"/>
                <w:jc w:val="center"/>
              </w:trPr>
              <w:tc>
                <w:tcPr>
                  <w:tcW w:w="0" w:type="auto"/>
                  <w:shd w:val="clear" w:color="auto" w:fill="FFFFFF"/>
                  <w:hideMark/>
                </w:tcPr>
                <w:p w:rsidR="00DD0871" w:rsidRPr="00DD0871" w:rsidRDefault="00DD0871" w:rsidP="00DD0871">
                  <w:pPr>
                    <w:spacing w:after="0" w:line="240" w:lineRule="auto"/>
                    <w:rPr>
                      <w:rFonts w:ascii="Times New Roman" w:eastAsia="Times New Roman" w:hAnsi="Times New Roman" w:cs="Times New Roman"/>
                      <w:sz w:val="24"/>
                      <w:szCs w:val="24"/>
                    </w:rPr>
                  </w:pPr>
                  <w:bookmarkStart w:id="77" w:name="TI023041.50"/>
                  <w:bookmarkEnd w:id="77"/>
                  <w:r w:rsidRPr="00DD0871">
                    <w:rPr>
                      <w:rFonts w:ascii="Times New Roman" w:eastAsia="Times New Roman" w:hAnsi="Times New Roman" w:cs="Times New Roman"/>
                      <w:sz w:val="24"/>
                      <w:szCs w:val="24"/>
                    </w:rPr>
                    <w:t xml:space="preserve">'In autoimmune hepatitis treatment with </w:t>
                  </w:r>
                  <w:proofErr w:type="spellStart"/>
                  <w:r w:rsidRPr="00DD0871">
                    <w:rPr>
                      <w:rFonts w:ascii="Times New Roman" w:eastAsia="Times New Roman" w:hAnsi="Times New Roman" w:cs="Times New Roman"/>
                      <w:sz w:val="24"/>
                      <w:szCs w:val="24"/>
                    </w:rPr>
                    <w:t>prednisolone</w:t>
                  </w:r>
                  <w:proofErr w:type="spellEnd"/>
                  <w:r w:rsidRPr="00DD0871">
                    <w:rPr>
                      <w:rFonts w:ascii="Times New Roman" w:eastAsia="Times New Roman" w:hAnsi="Times New Roman" w:cs="Times New Roman"/>
                      <w:sz w:val="24"/>
                      <w:szCs w:val="24"/>
                    </w:rPr>
                    <w:t xml:space="preserve"> ± </w:t>
                  </w:r>
                  <w:proofErr w:type="spellStart"/>
                  <w:r w:rsidRPr="00DD0871">
                    <w:rPr>
                      <w:rFonts w:ascii="Times New Roman" w:eastAsia="Times New Roman" w:hAnsi="Times New Roman" w:cs="Times New Roman"/>
                      <w:sz w:val="24"/>
                      <w:szCs w:val="24"/>
                    </w:rPr>
                    <w:t>azathioprine</w:t>
                  </w:r>
                  <w:proofErr w:type="spellEnd"/>
                  <w:r w:rsidRPr="00DD0871">
                    <w:rPr>
                      <w:rFonts w:ascii="Times New Roman" w:eastAsia="Times New Roman" w:hAnsi="Times New Roman" w:cs="Times New Roman"/>
                      <w:sz w:val="24"/>
                      <w:szCs w:val="24"/>
                    </w:rPr>
                    <w:t xml:space="preserve"> improves serum biochemistry and hepatic histology. It also improves survival at 10 years from 27% to 63% (NNT</w:t>
                  </w:r>
                  <w:r w:rsidRPr="00DD0871">
                    <w:rPr>
                      <w:rFonts w:ascii="Times New Roman" w:eastAsia="Times New Roman" w:hAnsi="Times New Roman" w:cs="Times New Roman"/>
                      <w:sz w:val="24"/>
                      <w:szCs w:val="24"/>
                      <w:vertAlign w:val="subscript"/>
                    </w:rPr>
                    <w:t>B</w:t>
                  </w:r>
                  <w:r w:rsidRPr="00DD0871">
                    <w:rPr>
                      <w:rFonts w:ascii="Times New Roman" w:eastAsia="Times New Roman" w:hAnsi="Times New Roman" w:cs="Times New Roman"/>
                      <w:sz w:val="24"/>
                      <w:szCs w:val="24"/>
                    </w:rPr>
                    <w:t xml:space="preserve"> 2.7).'</w:t>
                  </w:r>
                  <w:r w:rsidRPr="00DD0871">
                    <w:rPr>
                      <w:rFonts w:ascii="Times New Roman" w:eastAsia="Times New Roman" w:hAnsi="Times New Roman" w:cs="Times New Roman"/>
                      <w:sz w:val="24"/>
                      <w:szCs w:val="24"/>
                    </w:rPr>
                    <w:br/>
                    <w:t xml:space="preserve">  'In patients who have been in remission for more than 1 year, increasing the dose of </w:t>
                  </w:r>
                  <w:proofErr w:type="spellStart"/>
                  <w:r w:rsidRPr="00DD0871">
                    <w:rPr>
                      <w:rFonts w:ascii="Times New Roman" w:eastAsia="Times New Roman" w:hAnsi="Times New Roman" w:cs="Times New Roman"/>
                      <w:sz w:val="24"/>
                      <w:szCs w:val="24"/>
                    </w:rPr>
                    <w:t>azathioprine</w:t>
                  </w:r>
                  <w:proofErr w:type="spellEnd"/>
                  <w:r w:rsidRPr="00DD0871">
                    <w:rPr>
                      <w:rFonts w:ascii="Times New Roman" w:eastAsia="Times New Roman" w:hAnsi="Times New Roman" w:cs="Times New Roman"/>
                      <w:sz w:val="24"/>
                      <w:szCs w:val="24"/>
                    </w:rPr>
                    <w:t xml:space="preserve"> (from 1 to 2 mg/kg) and withdrawing </w:t>
                  </w:r>
                  <w:proofErr w:type="spellStart"/>
                  <w:r w:rsidRPr="00DD0871">
                    <w:rPr>
                      <w:rFonts w:ascii="Times New Roman" w:eastAsia="Times New Roman" w:hAnsi="Times New Roman" w:cs="Times New Roman"/>
                      <w:sz w:val="24"/>
                      <w:szCs w:val="24"/>
                    </w:rPr>
                    <w:t>prednisolone</w:t>
                  </w:r>
                  <w:proofErr w:type="spellEnd"/>
                  <w:r w:rsidRPr="00DD0871">
                    <w:rPr>
                      <w:rFonts w:ascii="Times New Roman" w:eastAsia="Times New Roman" w:hAnsi="Times New Roman" w:cs="Times New Roman"/>
                      <w:sz w:val="24"/>
                      <w:szCs w:val="24"/>
                    </w:rPr>
                    <w:t xml:space="preserve"> reduces steroid side-effects and does not increase the risk of relapse.'</w:t>
                  </w:r>
                </w:p>
              </w:tc>
            </w:tr>
          </w:tbl>
          <w:p w:rsidR="00DD0871" w:rsidRPr="00DD0871" w:rsidRDefault="00DD0871" w:rsidP="00DD0871">
            <w:pPr>
              <w:spacing w:after="0" w:line="240" w:lineRule="auto"/>
              <w:rPr>
                <w:rFonts w:ascii="Times New Roman" w:eastAsia="Times New Roman" w:hAnsi="Times New Roman" w:cs="Times New Roman"/>
                <w:vanish/>
                <w:sz w:val="24"/>
                <w:szCs w:val="24"/>
              </w:rPr>
            </w:pPr>
          </w:p>
          <w:tbl>
            <w:tblPr>
              <w:tblW w:w="4000" w:type="pct"/>
              <w:jc w:val="center"/>
              <w:tblCellSpacing w:w="0" w:type="dxa"/>
              <w:tblCellMar>
                <w:left w:w="0" w:type="dxa"/>
                <w:right w:w="0" w:type="dxa"/>
              </w:tblCellMar>
              <w:tblLook w:val="04A0"/>
            </w:tblPr>
            <w:tblGrid>
              <w:gridCol w:w="6078"/>
            </w:tblGrid>
            <w:tr w:rsidR="00DD0871" w:rsidRPr="00DD0871">
              <w:trPr>
                <w:tblCellSpacing w:w="0" w:type="dxa"/>
                <w:jc w:val="center"/>
              </w:trPr>
              <w:tc>
                <w:tcPr>
                  <w:tcW w:w="5000" w:type="pct"/>
                  <w:vAlign w:val="center"/>
                  <w:hideMark/>
                </w:tcPr>
                <w:p w:rsidR="00DD0871" w:rsidRPr="00DD0871" w:rsidRDefault="00DD0871" w:rsidP="00DD0871">
                  <w:pPr>
                    <w:numPr>
                      <w:ilvl w:val="0"/>
                      <w:numId w:val="5"/>
                    </w:numPr>
                    <w:spacing w:before="100" w:beforeAutospacing="1" w:after="100" w:afterAutospacing="1" w:line="240" w:lineRule="auto"/>
                    <w:rPr>
                      <w:rFonts w:ascii="Times New Roman" w:eastAsia="Times New Roman" w:hAnsi="Times New Roman" w:cs="Times New Roman"/>
                      <w:sz w:val="24"/>
                      <w:szCs w:val="24"/>
                    </w:rPr>
                  </w:pPr>
                  <w:bookmarkStart w:id="78" w:name="P023341"/>
                  <w:bookmarkEnd w:id="78"/>
                  <w:r w:rsidRPr="00DD0871">
                    <w:rPr>
                      <w:rFonts w:ascii="Times New Roman" w:eastAsia="Times New Roman" w:hAnsi="Times New Roman" w:cs="Times New Roman"/>
                      <w:sz w:val="24"/>
                      <w:szCs w:val="24"/>
                    </w:rPr>
                    <w:t xml:space="preserve">Kirk AP, et al. Gut 1980; 21:78-83. </w:t>
                  </w:r>
                </w:p>
                <w:p w:rsidR="00DD0871" w:rsidRPr="00DD0871" w:rsidRDefault="00DD0871" w:rsidP="00DD0871">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DD0871">
                    <w:rPr>
                      <w:rFonts w:ascii="Times New Roman" w:eastAsia="Times New Roman" w:hAnsi="Times New Roman" w:cs="Times New Roman"/>
                      <w:sz w:val="24"/>
                      <w:szCs w:val="24"/>
                    </w:rPr>
                    <w:t xml:space="preserve">Johnson PJ, et al. N </w:t>
                  </w:r>
                  <w:proofErr w:type="spellStart"/>
                  <w:r w:rsidRPr="00DD0871">
                    <w:rPr>
                      <w:rFonts w:ascii="Times New Roman" w:eastAsia="Times New Roman" w:hAnsi="Times New Roman" w:cs="Times New Roman"/>
                      <w:sz w:val="24"/>
                      <w:szCs w:val="24"/>
                    </w:rPr>
                    <w:t>Engl</w:t>
                  </w:r>
                  <w:proofErr w:type="spellEnd"/>
                  <w:r w:rsidRPr="00DD0871">
                    <w:rPr>
                      <w:rFonts w:ascii="Times New Roman" w:eastAsia="Times New Roman" w:hAnsi="Times New Roman" w:cs="Times New Roman"/>
                      <w:sz w:val="24"/>
                      <w:szCs w:val="24"/>
                    </w:rPr>
                    <w:t xml:space="preserve"> J Med 1995; 333:958-963. </w:t>
                  </w:r>
                </w:p>
              </w:tc>
            </w:tr>
          </w:tbl>
          <w:p w:rsidR="00DD0871" w:rsidRPr="00DD0871" w:rsidRDefault="00DD0871" w:rsidP="00DD0871">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7598"/>
            </w:tblGrid>
            <w:tr w:rsidR="00DD0871" w:rsidRPr="00DD0871">
              <w:trPr>
                <w:tblCellSpacing w:w="0" w:type="dxa"/>
              </w:trPr>
              <w:tc>
                <w:tcPr>
                  <w:tcW w:w="5000" w:type="pct"/>
                  <w:vAlign w:val="center"/>
                  <w:hideMark/>
                </w:tcPr>
                <w:p w:rsidR="00DD0871" w:rsidRPr="00DD0871" w:rsidRDefault="00DD0871" w:rsidP="00DD0871">
                  <w:pPr>
                    <w:spacing w:after="0" w:line="240" w:lineRule="auto"/>
                    <w:rPr>
                      <w:rFonts w:ascii="Times New Roman" w:eastAsia="Times New Roman" w:hAnsi="Times New Roman" w:cs="Times New Roman"/>
                      <w:sz w:val="24"/>
                      <w:szCs w:val="24"/>
                    </w:rPr>
                  </w:pPr>
                  <w:r w:rsidRPr="00DD0871">
                    <w:rPr>
                      <w:rFonts w:ascii="Times New Roman" w:eastAsia="Times New Roman" w:hAnsi="Times New Roman" w:cs="Times New Roman"/>
                      <w:sz w:val="24"/>
                      <w:szCs w:val="24"/>
                    </w:rPr>
                    <w:pict>
                      <v:shape id="_x0000_i1034" type="#_x0000_t75" alt="" style="width:.5pt;height:7.5pt"/>
                    </w:pict>
                  </w:r>
                </w:p>
              </w:tc>
            </w:tr>
          </w:tbl>
          <w:p w:rsidR="00DD0871" w:rsidRPr="00DD0871" w:rsidRDefault="00DD0871" w:rsidP="00DD0871">
            <w:pPr>
              <w:spacing w:after="0" w:line="240" w:lineRule="auto"/>
              <w:rPr>
                <w:rFonts w:ascii="Times New Roman" w:eastAsia="Times New Roman" w:hAnsi="Times New Roman" w:cs="Times New Roman"/>
                <w:sz w:val="24"/>
                <w:szCs w:val="24"/>
              </w:rPr>
            </w:pPr>
          </w:p>
        </w:tc>
      </w:tr>
      <w:tr w:rsidR="00DD0871" w:rsidRPr="00DD0871" w:rsidTr="00DD0871">
        <w:tblPrEx>
          <w:tblCellMar>
            <w:top w:w="75" w:type="dxa"/>
            <w:left w:w="75" w:type="dxa"/>
            <w:bottom w:w="75" w:type="dxa"/>
            <w:right w:w="75" w:type="dxa"/>
          </w:tblCellMar>
        </w:tblPrEx>
        <w:trPr>
          <w:gridAfter w:val="1"/>
          <w:tblCellSpacing w:w="0" w:type="dxa"/>
        </w:trPr>
        <w:tc>
          <w:tcPr>
            <w:tcW w:w="0" w:type="auto"/>
            <w:gridSpan w:val="3"/>
            <w:shd w:val="clear" w:color="auto" w:fill="FFFFFF"/>
            <w:hideMark/>
          </w:tcPr>
          <w:p w:rsidR="00DD0871" w:rsidRPr="00DD0871" w:rsidRDefault="00DD0871" w:rsidP="00DD0871">
            <w:pPr>
              <w:spacing w:after="0" w:line="240" w:lineRule="auto"/>
              <w:rPr>
                <w:rFonts w:ascii="Times New Roman" w:eastAsia="Times New Roman" w:hAnsi="Times New Roman" w:cs="Times New Roman"/>
                <w:sz w:val="24"/>
                <w:szCs w:val="24"/>
              </w:rPr>
            </w:pPr>
            <w:bookmarkStart w:id="79" w:name="TI023041.100"/>
            <w:bookmarkEnd w:id="79"/>
          </w:p>
        </w:tc>
      </w:tr>
    </w:tbl>
    <w:p w:rsidR="00DD0871" w:rsidRPr="00DD0871" w:rsidRDefault="00DD0871" w:rsidP="00DD0871">
      <w:pPr>
        <w:spacing w:after="0" w:line="240" w:lineRule="auto"/>
        <w:rPr>
          <w:rFonts w:ascii="Times New Roman" w:eastAsia="Times New Roman" w:hAnsi="Times New Roman" w:cs="Times New Roman"/>
          <w:vanish/>
          <w:sz w:val="24"/>
          <w:szCs w:val="24"/>
        </w:rPr>
      </w:pPr>
    </w:p>
    <w:tbl>
      <w:tblPr>
        <w:tblW w:w="4500" w:type="pct"/>
        <w:jc w:val="center"/>
        <w:tblCellSpacing w:w="0" w:type="dxa"/>
        <w:tblCellMar>
          <w:left w:w="0" w:type="dxa"/>
          <w:right w:w="0" w:type="dxa"/>
        </w:tblCellMar>
        <w:tblLook w:val="04A0"/>
      </w:tblPr>
      <w:tblGrid>
        <w:gridCol w:w="7776"/>
      </w:tblGrid>
      <w:tr w:rsidR="00DD0871" w:rsidRPr="00DD0871" w:rsidTr="00DD0871">
        <w:trPr>
          <w:tblCellSpacing w:w="0" w:type="dxa"/>
          <w:jc w:val="center"/>
        </w:trPr>
        <w:tc>
          <w:tcPr>
            <w:tcW w:w="5000" w:type="pct"/>
            <w:shd w:val="clear" w:color="auto" w:fill="FFFFFF"/>
            <w:vAlign w:val="center"/>
            <w:hideMark/>
          </w:tcPr>
          <w:p w:rsidR="00DD0871" w:rsidRPr="00DD0871" w:rsidRDefault="00DD0871" w:rsidP="00DD0871">
            <w:pPr>
              <w:spacing w:after="0" w:line="240" w:lineRule="auto"/>
              <w:rPr>
                <w:rFonts w:ascii="Times New Roman" w:eastAsia="Times New Roman" w:hAnsi="Times New Roman" w:cs="Times New Roman"/>
                <w:sz w:val="24"/>
                <w:szCs w:val="24"/>
              </w:rPr>
            </w:pPr>
          </w:p>
        </w:tc>
      </w:tr>
    </w:tbl>
    <w:p w:rsidR="00DD0871" w:rsidRPr="00DD0871" w:rsidRDefault="00DD0871" w:rsidP="00DD0871">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8640"/>
      </w:tblGrid>
      <w:tr w:rsidR="00DD0871" w:rsidRPr="00DD0871" w:rsidTr="00DD0871">
        <w:trPr>
          <w:tblCellSpacing w:w="0" w:type="dxa"/>
        </w:trPr>
        <w:tc>
          <w:tcPr>
            <w:tcW w:w="5000" w:type="pct"/>
            <w:shd w:val="clear" w:color="auto" w:fill="FFFFFF"/>
            <w:vAlign w:val="center"/>
            <w:hideMark/>
          </w:tcPr>
          <w:p w:rsidR="00DD0871" w:rsidRPr="00DD0871" w:rsidRDefault="00DD0871" w:rsidP="00DD0871">
            <w:pPr>
              <w:spacing w:after="0" w:line="240" w:lineRule="auto"/>
              <w:rPr>
                <w:rFonts w:ascii="Times New Roman" w:eastAsia="Times New Roman" w:hAnsi="Times New Roman" w:cs="Times New Roman"/>
                <w:sz w:val="24"/>
                <w:szCs w:val="24"/>
              </w:rPr>
            </w:pPr>
            <w:bookmarkStart w:id="80" w:name="P023340"/>
            <w:bookmarkEnd w:id="80"/>
            <w:r w:rsidRPr="00DD0871">
              <w:rPr>
                <w:rFonts w:ascii="Times New Roman" w:eastAsia="Times New Roman" w:hAnsi="Times New Roman" w:cs="Times New Roman"/>
                <w:sz w:val="24"/>
                <w:szCs w:val="24"/>
              </w:rPr>
              <w:t xml:space="preserve">Serological testing for specific </w:t>
            </w:r>
            <w:proofErr w:type="spellStart"/>
            <w:r w:rsidRPr="00DD0871">
              <w:rPr>
                <w:rFonts w:ascii="Times New Roman" w:eastAsia="Times New Roman" w:hAnsi="Times New Roman" w:cs="Times New Roman"/>
                <w:sz w:val="24"/>
                <w:szCs w:val="24"/>
              </w:rPr>
              <w:t>autoantibodies</w:t>
            </w:r>
            <w:proofErr w:type="spellEnd"/>
            <w:r w:rsidRPr="00DD0871">
              <w:rPr>
                <w:rFonts w:ascii="Times New Roman" w:eastAsia="Times New Roman" w:hAnsi="Times New Roman" w:cs="Times New Roman"/>
                <w:sz w:val="24"/>
                <w:szCs w:val="24"/>
              </w:rPr>
              <w:t xml:space="preserve"> may suggest autoimmune hepatitis (</w:t>
            </w:r>
            <w:hyperlink r:id="rId14" w:anchor="B023055" w:tooltip="Go here now" w:history="1">
              <w:r w:rsidRPr="00DD0871">
                <w:rPr>
                  <w:rFonts w:ascii="Times New Roman" w:eastAsia="Times New Roman" w:hAnsi="Times New Roman" w:cs="Times New Roman"/>
                  <w:color w:val="0000FF"/>
                  <w:sz w:val="24"/>
                  <w:szCs w:val="24"/>
                  <w:u w:val="single"/>
                </w:rPr>
                <w:t>Box 23.55</w:t>
              </w:r>
            </w:hyperlink>
            <w:r w:rsidRPr="00DD0871">
              <w:rPr>
                <w:rFonts w:ascii="Times New Roman" w:eastAsia="Times New Roman" w:hAnsi="Times New Roman" w:cs="Times New Roman"/>
                <w:sz w:val="24"/>
                <w:szCs w:val="24"/>
              </w:rPr>
              <w:t xml:space="preserve">). However, low </w:t>
            </w:r>
            <w:proofErr w:type="spellStart"/>
            <w:r w:rsidRPr="00DD0871">
              <w:rPr>
                <w:rFonts w:ascii="Times New Roman" w:eastAsia="Times New Roman" w:hAnsi="Times New Roman" w:cs="Times New Roman"/>
                <w:sz w:val="24"/>
                <w:szCs w:val="24"/>
              </w:rPr>
              <w:t>titres</w:t>
            </w:r>
            <w:proofErr w:type="spellEnd"/>
            <w:r w:rsidRPr="00DD0871">
              <w:rPr>
                <w:rFonts w:ascii="Times New Roman" w:eastAsia="Times New Roman" w:hAnsi="Times New Roman" w:cs="Times New Roman"/>
                <w:sz w:val="24"/>
                <w:szCs w:val="24"/>
              </w:rPr>
              <w:t xml:space="preserve"> of these antibodies occur in some healthy people. Antinuclear antibodies also occur in connective tissue diseases and other autoimmune diseases, including various thyroid disorders and pernicious </w:t>
            </w:r>
            <w:proofErr w:type="spellStart"/>
            <w:r w:rsidRPr="00DD0871">
              <w:rPr>
                <w:rFonts w:ascii="Times New Roman" w:eastAsia="Times New Roman" w:hAnsi="Times New Roman" w:cs="Times New Roman"/>
                <w:sz w:val="24"/>
                <w:szCs w:val="24"/>
              </w:rPr>
              <w:t>anaemia</w:t>
            </w:r>
            <w:proofErr w:type="spellEnd"/>
            <w:r w:rsidRPr="00DD0871">
              <w:rPr>
                <w:rFonts w:ascii="Times New Roman" w:eastAsia="Times New Roman" w:hAnsi="Times New Roman" w:cs="Times New Roman"/>
                <w:sz w:val="24"/>
                <w:szCs w:val="24"/>
              </w:rPr>
              <w:t xml:space="preserve">, while anti-smooth muscle antibody has been reported in infectious mononucleosis and a variety of malignant diseases. </w:t>
            </w:r>
            <w:proofErr w:type="spellStart"/>
            <w:r w:rsidRPr="00DD0871">
              <w:rPr>
                <w:rFonts w:ascii="Times New Roman" w:eastAsia="Times New Roman" w:hAnsi="Times New Roman" w:cs="Times New Roman"/>
                <w:sz w:val="24"/>
                <w:szCs w:val="24"/>
              </w:rPr>
              <w:t>Antimicrosomal</w:t>
            </w:r>
            <w:proofErr w:type="spellEnd"/>
            <w:r w:rsidRPr="00DD0871">
              <w:rPr>
                <w:rFonts w:ascii="Times New Roman" w:eastAsia="Times New Roman" w:hAnsi="Times New Roman" w:cs="Times New Roman"/>
                <w:sz w:val="24"/>
                <w:szCs w:val="24"/>
              </w:rPr>
              <w:t xml:space="preserve"> antibodies (anti-LKM) occur particularly in children and adolescents. Elevated levels of serum </w:t>
            </w:r>
            <w:proofErr w:type="spellStart"/>
            <w:r w:rsidRPr="00DD0871">
              <w:rPr>
                <w:rFonts w:ascii="Times New Roman" w:eastAsia="Times New Roman" w:hAnsi="Times New Roman" w:cs="Times New Roman"/>
                <w:sz w:val="24"/>
                <w:szCs w:val="24"/>
              </w:rPr>
              <w:t>IgG</w:t>
            </w:r>
            <w:proofErr w:type="spellEnd"/>
            <w:r w:rsidRPr="00DD0871">
              <w:rPr>
                <w:rFonts w:ascii="Times New Roman" w:eastAsia="Times New Roman" w:hAnsi="Times New Roman" w:cs="Times New Roman"/>
                <w:sz w:val="24"/>
                <w:szCs w:val="24"/>
              </w:rPr>
              <w:t xml:space="preserve"> </w:t>
            </w:r>
            <w:proofErr w:type="spellStart"/>
            <w:r w:rsidRPr="00DD0871">
              <w:rPr>
                <w:rFonts w:ascii="Times New Roman" w:eastAsia="Times New Roman" w:hAnsi="Times New Roman" w:cs="Times New Roman"/>
                <w:sz w:val="24"/>
                <w:szCs w:val="24"/>
              </w:rPr>
              <w:t>immunoglobulins</w:t>
            </w:r>
            <w:proofErr w:type="spellEnd"/>
            <w:r w:rsidRPr="00DD0871">
              <w:rPr>
                <w:rFonts w:ascii="Times New Roman" w:eastAsia="Times New Roman" w:hAnsi="Times New Roman" w:cs="Times New Roman"/>
                <w:sz w:val="24"/>
                <w:szCs w:val="24"/>
              </w:rPr>
              <w:t xml:space="preserve"> are invariable and are an important diagnostic feature. Liver biopsy typically shows interface hepatitis, with or without cirrhosis. </w:t>
            </w:r>
          </w:p>
        </w:tc>
      </w:tr>
    </w:tbl>
    <w:p w:rsidR="00DD0871" w:rsidRPr="00DD0871" w:rsidRDefault="00DD0871" w:rsidP="00DD0871">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8640"/>
      </w:tblGrid>
      <w:tr w:rsidR="00DD0871" w:rsidRPr="00DD0871" w:rsidTr="00DD0871">
        <w:trPr>
          <w:tblCellSpacing w:w="0" w:type="dxa"/>
        </w:trPr>
        <w:tc>
          <w:tcPr>
            <w:tcW w:w="5000" w:type="pct"/>
            <w:shd w:val="clear" w:color="auto" w:fill="FFFFFF"/>
            <w:vAlign w:val="center"/>
            <w:hideMark/>
          </w:tcPr>
          <w:p w:rsidR="00DD0871" w:rsidRPr="00DD0871" w:rsidRDefault="00DD0871" w:rsidP="00DD0871">
            <w:pPr>
              <w:spacing w:after="0" w:line="240" w:lineRule="auto"/>
              <w:rPr>
                <w:rFonts w:ascii="Times New Roman" w:eastAsia="Times New Roman" w:hAnsi="Times New Roman" w:cs="Times New Roman"/>
                <w:sz w:val="24"/>
                <w:szCs w:val="24"/>
              </w:rPr>
            </w:pPr>
            <w:bookmarkStart w:id="81" w:name="HC023209"/>
            <w:bookmarkEnd w:id="81"/>
            <w:r w:rsidRPr="00DD0871">
              <w:rPr>
                <w:rFonts w:ascii="Times New Roman" w:eastAsia="Times New Roman" w:hAnsi="Times New Roman" w:cs="Times New Roman"/>
                <w:sz w:val="24"/>
                <w:szCs w:val="24"/>
                <w:highlight w:val="yellow"/>
              </w:rPr>
              <w:t>Management</w:t>
            </w:r>
            <w:r w:rsidRPr="00DD0871">
              <w:rPr>
                <w:rFonts w:ascii="Times New Roman" w:eastAsia="Times New Roman" w:hAnsi="Times New Roman" w:cs="Times New Roman"/>
                <w:sz w:val="24"/>
                <w:szCs w:val="24"/>
              </w:rPr>
              <w:t xml:space="preserve"> </w:t>
            </w:r>
          </w:p>
        </w:tc>
      </w:tr>
    </w:tbl>
    <w:p w:rsidR="00DD0871" w:rsidRPr="00DD0871" w:rsidRDefault="00DD0871" w:rsidP="00DD0871">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8640"/>
      </w:tblGrid>
      <w:tr w:rsidR="00DD0871" w:rsidRPr="00DD0871" w:rsidTr="00DD0871">
        <w:trPr>
          <w:tblCellSpacing w:w="0" w:type="dxa"/>
        </w:trPr>
        <w:tc>
          <w:tcPr>
            <w:tcW w:w="5000" w:type="pct"/>
            <w:shd w:val="clear" w:color="auto" w:fill="FFFFFF"/>
            <w:vAlign w:val="center"/>
            <w:hideMark/>
          </w:tcPr>
          <w:p w:rsidR="00DD0871" w:rsidRPr="00DD0871" w:rsidRDefault="00DD0871" w:rsidP="00DD0871">
            <w:pPr>
              <w:spacing w:after="0" w:line="240" w:lineRule="auto"/>
              <w:rPr>
                <w:rFonts w:ascii="Times New Roman" w:eastAsia="Times New Roman" w:hAnsi="Times New Roman" w:cs="Times New Roman"/>
                <w:sz w:val="24"/>
                <w:szCs w:val="24"/>
              </w:rPr>
            </w:pPr>
            <w:bookmarkStart w:id="82" w:name="P023342"/>
            <w:bookmarkEnd w:id="82"/>
            <w:r w:rsidRPr="00DD0871">
              <w:rPr>
                <w:rFonts w:ascii="Times New Roman" w:eastAsia="Times New Roman" w:hAnsi="Times New Roman" w:cs="Times New Roman"/>
                <w:sz w:val="24"/>
                <w:szCs w:val="24"/>
              </w:rPr>
              <w:t xml:space="preserve">Treatment with corticosteroids is life-saving in autoimmune hepatitis, particularly during exacerbations of active and symptomatic disease. Initially, </w:t>
            </w:r>
            <w:proofErr w:type="spellStart"/>
            <w:r w:rsidRPr="00DD0871">
              <w:rPr>
                <w:rFonts w:ascii="Times New Roman" w:eastAsia="Times New Roman" w:hAnsi="Times New Roman" w:cs="Times New Roman"/>
                <w:sz w:val="24"/>
                <w:szCs w:val="24"/>
              </w:rPr>
              <w:t>prednisolone</w:t>
            </w:r>
            <w:proofErr w:type="spellEnd"/>
            <w:r w:rsidRPr="00DD0871">
              <w:rPr>
                <w:rFonts w:ascii="Times New Roman" w:eastAsia="Times New Roman" w:hAnsi="Times New Roman" w:cs="Times New Roman"/>
                <w:sz w:val="24"/>
                <w:szCs w:val="24"/>
              </w:rPr>
              <w:t xml:space="preserve"> 40 mg/day is given orally; the dose is then gradually reduced as the patient and LFTs improve. Maintenance therapy is required for at least 2 years after LFTs have returned to normal, and withdrawal of treatment should not be considered unless a liver biopsy is also normal. </w:t>
            </w:r>
            <w:proofErr w:type="spellStart"/>
            <w:r w:rsidRPr="00DD0871">
              <w:rPr>
                <w:rFonts w:ascii="Times New Roman" w:eastAsia="Times New Roman" w:hAnsi="Times New Roman" w:cs="Times New Roman"/>
                <w:sz w:val="24"/>
                <w:szCs w:val="24"/>
              </w:rPr>
              <w:t>Azathioprine</w:t>
            </w:r>
            <w:proofErr w:type="spellEnd"/>
            <w:r w:rsidRPr="00DD0871">
              <w:rPr>
                <w:rFonts w:ascii="Times New Roman" w:eastAsia="Times New Roman" w:hAnsi="Times New Roman" w:cs="Times New Roman"/>
                <w:sz w:val="24"/>
                <w:szCs w:val="24"/>
              </w:rPr>
              <w:t xml:space="preserve"> 1.0-1.5 mg/kg/day orally may allow the dose of </w:t>
            </w:r>
            <w:proofErr w:type="spellStart"/>
            <w:r w:rsidRPr="00DD0871">
              <w:rPr>
                <w:rFonts w:ascii="Times New Roman" w:eastAsia="Times New Roman" w:hAnsi="Times New Roman" w:cs="Times New Roman"/>
                <w:sz w:val="24"/>
                <w:szCs w:val="24"/>
              </w:rPr>
              <w:t>prednisolone</w:t>
            </w:r>
            <w:proofErr w:type="spellEnd"/>
            <w:r w:rsidRPr="00DD0871">
              <w:rPr>
                <w:rFonts w:ascii="Times New Roman" w:eastAsia="Times New Roman" w:hAnsi="Times New Roman" w:cs="Times New Roman"/>
                <w:sz w:val="24"/>
                <w:szCs w:val="24"/>
              </w:rPr>
              <w:t xml:space="preserve"> to be reduced (</w:t>
            </w:r>
            <w:hyperlink r:id="rId15" w:anchor="B023056" w:tooltip="Go here now" w:history="1">
              <w:r w:rsidRPr="00DD0871">
                <w:rPr>
                  <w:rFonts w:ascii="Times New Roman" w:eastAsia="Times New Roman" w:hAnsi="Times New Roman" w:cs="Times New Roman"/>
                  <w:color w:val="0000FF"/>
                  <w:sz w:val="24"/>
                  <w:szCs w:val="24"/>
                  <w:u w:val="single"/>
                </w:rPr>
                <w:t>Box 23.56</w:t>
              </w:r>
            </w:hyperlink>
            <w:r w:rsidRPr="00DD0871">
              <w:rPr>
                <w:rFonts w:ascii="Times New Roman" w:eastAsia="Times New Roman" w:hAnsi="Times New Roman" w:cs="Times New Roman"/>
                <w:sz w:val="24"/>
                <w:szCs w:val="24"/>
              </w:rPr>
              <w:t xml:space="preserve">). </w:t>
            </w:r>
            <w:proofErr w:type="spellStart"/>
            <w:r w:rsidRPr="00DD0871">
              <w:rPr>
                <w:rFonts w:ascii="Times New Roman" w:eastAsia="Times New Roman" w:hAnsi="Times New Roman" w:cs="Times New Roman"/>
                <w:sz w:val="24"/>
                <w:szCs w:val="24"/>
              </w:rPr>
              <w:t>Azathioprine</w:t>
            </w:r>
            <w:proofErr w:type="spellEnd"/>
            <w:r w:rsidRPr="00DD0871">
              <w:rPr>
                <w:rFonts w:ascii="Times New Roman" w:eastAsia="Times New Roman" w:hAnsi="Times New Roman" w:cs="Times New Roman"/>
                <w:sz w:val="24"/>
                <w:szCs w:val="24"/>
              </w:rPr>
              <w:t xml:space="preserve"> can also be used as the sole maintenance immunosuppressive agent. Corticosteroids treat acute exacerbations and do not prevent cirrhosis; they are therefore less important in mild asymptomatic autoimmune hepatitis. </w:t>
            </w:r>
          </w:p>
        </w:tc>
      </w:tr>
    </w:tbl>
    <w:p w:rsidR="00DD0871" w:rsidRPr="00DD0871" w:rsidRDefault="00DD0871" w:rsidP="00DD0871">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8640"/>
      </w:tblGrid>
      <w:tr w:rsidR="00DD0871" w:rsidRPr="00DD0871" w:rsidTr="00DD0871">
        <w:trPr>
          <w:tblCellSpacing w:w="0" w:type="dxa"/>
        </w:trPr>
        <w:tc>
          <w:tcPr>
            <w:tcW w:w="5000" w:type="pct"/>
            <w:shd w:val="clear" w:color="auto" w:fill="FFFFFF"/>
            <w:vAlign w:val="center"/>
            <w:hideMark/>
          </w:tcPr>
          <w:p w:rsidR="00DD0871" w:rsidRPr="00DD0871" w:rsidRDefault="00DD0871" w:rsidP="00DD0871">
            <w:pPr>
              <w:spacing w:after="0" w:line="240" w:lineRule="auto"/>
              <w:rPr>
                <w:rFonts w:ascii="Times New Roman" w:eastAsia="Times New Roman" w:hAnsi="Times New Roman" w:cs="Times New Roman"/>
                <w:sz w:val="24"/>
                <w:szCs w:val="24"/>
              </w:rPr>
            </w:pPr>
            <w:bookmarkStart w:id="83" w:name="HC023210"/>
            <w:bookmarkEnd w:id="83"/>
            <w:r w:rsidRPr="00DD0871">
              <w:rPr>
                <w:rFonts w:ascii="Times New Roman" w:eastAsia="Times New Roman" w:hAnsi="Times New Roman" w:cs="Times New Roman"/>
                <w:sz w:val="24"/>
                <w:szCs w:val="24"/>
                <w:highlight w:val="yellow"/>
              </w:rPr>
              <w:t>Prognosis</w:t>
            </w:r>
            <w:r w:rsidRPr="00DD0871">
              <w:rPr>
                <w:rFonts w:ascii="Times New Roman" w:eastAsia="Times New Roman" w:hAnsi="Times New Roman" w:cs="Times New Roman"/>
                <w:sz w:val="24"/>
                <w:szCs w:val="24"/>
              </w:rPr>
              <w:t xml:space="preserve"> </w:t>
            </w:r>
          </w:p>
        </w:tc>
      </w:tr>
    </w:tbl>
    <w:p w:rsidR="00DD0871" w:rsidRPr="00DD0871" w:rsidRDefault="00DD0871" w:rsidP="00DD0871">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8640"/>
      </w:tblGrid>
      <w:tr w:rsidR="00DD0871" w:rsidRPr="00DD0871" w:rsidTr="00DD0871">
        <w:trPr>
          <w:tblCellSpacing w:w="0" w:type="dxa"/>
        </w:trPr>
        <w:tc>
          <w:tcPr>
            <w:tcW w:w="5000" w:type="pct"/>
            <w:shd w:val="clear" w:color="auto" w:fill="FFFFFF"/>
            <w:vAlign w:val="center"/>
            <w:hideMark/>
          </w:tcPr>
          <w:p w:rsidR="00DD0871" w:rsidRPr="00DD0871" w:rsidRDefault="00DD0871" w:rsidP="00DD0871">
            <w:pPr>
              <w:spacing w:after="0" w:line="240" w:lineRule="auto"/>
              <w:rPr>
                <w:rFonts w:ascii="Times New Roman" w:eastAsia="Times New Roman" w:hAnsi="Times New Roman" w:cs="Times New Roman"/>
                <w:sz w:val="24"/>
                <w:szCs w:val="24"/>
              </w:rPr>
            </w:pPr>
            <w:bookmarkStart w:id="84" w:name="P023343"/>
            <w:bookmarkEnd w:id="84"/>
            <w:r w:rsidRPr="00DD0871">
              <w:rPr>
                <w:rFonts w:ascii="Times New Roman" w:eastAsia="Times New Roman" w:hAnsi="Times New Roman" w:cs="Times New Roman"/>
                <w:sz w:val="24"/>
                <w:szCs w:val="24"/>
              </w:rPr>
              <w:t xml:space="preserve">The disease is </w:t>
            </w:r>
            <w:proofErr w:type="spellStart"/>
            <w:r w:rsidRPr="00DD0871">
              <w:rPr>
                <w:rFonts w:ascii="Times New Roman" w:eastAsia="Times New Roman" w:hAnsi="Times New Roman" w:cs="Times New Roman"/>
                <w:sz w:val="24"/>
                <w:szCs w:val="24"/>
              </w:rPr>
              <w:t>characterised</w:t>
            </w:r>
            <w:proofErr w:type="spellEnd"/>
            <w:r w:rsidRPr="00DD0871">
              <w:rPr>
                <w:rFonts w:ascii="Times New Roman" w:eastAsia="Times New Roman" w:hAnsi="Times New Roman" w:cs="Times New Roman"/>
                <w:sz w:val="24"/>
                <w:szCs w:val="24"/>
              </w:rPr>
              <w:t xml:space="preserve"> by exacerbations and remissions, but most patients eventually develop cirrhosis and its complications. </w:t>
            </w:r>
            <w:proofErr w:type="spellStart"/>
            <w:r w:rsidRPr="00DD0871">
              <w:rPr>
                <w:rFonts w:ascii="Times New Roman" w:eastAsia="Times New Roman" w:hAnsi="Times New Roman" w:cs="Times New Roman"/>
                <w:sz w:val="24"/>
                <w:szCs w:val="24"/>
              </w:rPr>
              <w:t>Hepatocellular</w:t>
            </w:r>
            <w:proofErr w:type="spellEnd"/>
            <w:r w:rsidRPr="00DD0871">
              <w:rPr>
                <w:rFonts w:ascii="Times New Roman" w:eastAsia="Times New Roman" w:hAnsi="Times New Roman" w:cs="Times New Roman"/>
                <w:sz w:val="24"/>
                <w:szCs w:val="24"/>
              </w:rPr>
              <w:t xml:space="preserve"> carcinoma is uncommon. Approximately 50% of symptomatic patients will die of liver failure within 5 years if no treatment is given, but this falls to about 10% with therapy.</w:t>
            </w:r>
          </w:p>
        </w:tc>
      </w:tr>
    </w:tbl>
    <w:p w:rsidR="00DD0871" w:rsidRDefault="00DD0871"/>
    <w:sectPr w:rsidR="00DD0871" w:rsidSect="00DD0871">
      <w:pgSz w:w="12240" w:h="15840"/>
      <w:pgMar w:top="1350" w:right="1800" w:bottom="135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284B08"/>
    <w:multiLevelType w:val="multilevel"/>
    <w:tmpl w:val="5C4C5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CEF0418"/>
    <w:multiLevelType w:val="multilevel"/>
    <w:tmpl w:val="53926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C204808"/>
    <w:multiLevelType w:val="multilevel"/>
    <w:tmpl w:val="2CB69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F0F4F0D"/>
    <w:multiLevelType w:val="multilevel"/>
    <w:tmpl w:val="FB267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0B6407F"/>
    <w:multiLevelType w:val="multilevel"/>
    <w:tmpl w:val="20BC2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20"/>
  <w:characterSpacingControl w:val="doNotCompress"/>
  <w:savePreviewPicture/>
  <w:compat>
    <w:useFELayout/>
  </w:compat>
  <w:rsids>
    <w:rsidRoot w:val="003F4F50"/>
    <w:rsid w:val="003F4F50"/>
    <w:rsid w:val="00DD087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F4F50"/>
    <w:rPr>
      <w:color w:val="0000FF"/>
      <w:u w:val="single"/>
    </w:rPr>
  </w:style>
</w:styles>
</file>

<file path=word/webSettings.xml><?xml version="1.0" encoding="utf-8"?>
<w:webSettings xmlns:r="http://schemas.openxmlformats.org/officeDocument/2006/relationships" xmlns:w="http://schemas.openxmlformats.org/wordprocessingml/2006/main">
  <w:divs>
    <w:div w:id="1239635114">
      <w:bodyDiv w:val="1"/>
      <w:marLeft w:val="0"/>
      <w:marRight w:val="0"/>
      <w:marTop w:val="0"/>
      <w:marBottom w:val="0"/>
      <w:divBdr>
        <w:top w:val="none" w:sz="0" w:space="0" w:color="auto"/>
        <w:left w:val="none" w:sz="0" w:space="0" w:color="auto"/>
        <w:bottom w:val="none" w:sz="0" w:space="0" w:color="auto"/>
        <w:right w:val="none" w:sz="0" w:space="0" w:color="auto"/>
      </w:divBdr>
      <w:divsChild>
        <w:div w:id="1885173503">
          <w:marLeft w:val="0"/>
          <w:marRight w:val="0"/>
          <w:marTop w:val="0"/>
          <w:marBottom w:val="0"/>
          <w:divBdr>
            <w:top w:val="none" w:sz="0" w:space="0" w:color="auto"/>
            <w:left w:val="none" w:sz="0" w:space="0" w:color="auto"/>
            <w:bottom w:val="none" w:sz="0" w:space="0" w:color="auto"/>
            <w:right w:val="none" w:sz="0" w:space="0" w:color="auto"/>
          </w:divBdr>
        </w:div>
      </w:divsChild>
    </w:div>
    <w:div w:id="1450776730">
      <w:bodyDiv w:val="1"/>
      <w:marLeft w:val="0"/>
      <w:marRight w:val="0"/>
      <w:marTop w:val="0"/>
      <w:marBottom w:val="0"/>
      <w:divBdr>
        <w:top w:val="none" w:sz="0" w:space="0" w:color="auto"/>
        <w:left w:val="none" w:sz="0" w:space="0" w:color="auto"/>
        <w:bottom w:val="none" w:sz="0" w:space="0" w:color="auto"/>
        <w:right w:val="none" w:sz="0" w:space="0" w:color="auto"/>
      </w:divBdr>
      <w:divsChild>
        <w:div w:id="19034408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k:@MSITStore:C:\aDavidson's%20Principles%20&amp;%20Practice%20of%20Medicine%2020th.2007.Ed.CHM::/www.studentconsult.com/content/bookcontent.cfm@xrefid=p1216" TargetMode="External"/><Relationship Id="rId13" Type="http://schemas.openxmlformats.org/officeDocument/2006/relationships/hyperlink" Target="mk:@MSITStore:C:\aDavidson's%20Principles%20&amp;%20Practice%20of%20Medicine%2020th.2007.Ed.CHM::/www.studentconsult.com/content/bookcontent.cfm@xrefid=b023054" TargetMode="External"/><Relationship Id="rId3" Type="http://schemas.openxmlformats.org/officeDocument/2006/relationships/settings" Target="settings.xml"/><Relationship Id="rId7" Type="http://schemas.openxmlformats.org/officeDocument/2006/relationships/hyperlink" Target="mk:@MSITStore:C:\aDavidson's%20Principles%20&amp;%20Practice%20of%20Medicine%2020th.2007.Ed.CHM::/www.studentconsult.com/content/bookcontent.cfm@xrefid=p0984" TargetMode="External"/><Relationship Id="rId12" Type="http://schemas.openxmlformats.org/officeDocument/2006/relationships/hyperlink" Target="mk:@MSITStore:C:\aDavidson's%20Principles%20&amp;%20Practice%20of%20Medicine%2020th.2007.Ed.CHM::/www.studentconsult.com/content/bookcontent.cfm@id=hc023192.ht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k:@MSITStore:C:\aDavidson's%20Principles%20&amp;%20Practice%20of%20Medicine%2020th.2007.Ed.CHM::/www.studentconsult.com/content/bookcontent.cfm@id=hc023183.htm" TargetMode="External"/><Relationship Id="rId11" Type="http://schemas.openxmlformats.org/officeDocument/2006/relationships/hyperlink" Target="mk:@MSITStore:C:\aDavidson's%20Principles%20&amp;%20Practice%20of%20Medicine%2020th.2007.Ed.CHM::/www.studentconsult.com/content/bookcontent.cfm@id=hc023202.htm" TargetMode="External"/><Relationship Id="rId5" Type="http://schemas.openxmlformats.org/officeDocument/2006/relationships/hyperlink" Target="mk:@MSITStore:C:\aDavidson's%20Principles%20&amp;%20Practice%20of%20Medicine%2020th.2007.Ed.CHM::/www.studentconsult.com/content/bookcontent.cfm@xrefid=b023053" TargetMode="External"/><Relationship Id="rId15" Type="http://schemas.openxmlformats.org/officeDocument/2006/relationships/hyperlink" Target="mk:@MSITStore:C:\aDavidson's%20Principles%20&amp;%20Practice%20of%20Medicine%2020th.2007.Ed.CHM::/www.studentconsult.com/content/bookcontent.cfm@xrefid=b023056" TargetMode="External"/><Relationship Id="rId10" Type="http://schemas.openxmlformats.org/officeDocument/2006/relationships/hyperlink" Target="mk:@MSITStore:C:\aDavidson's%20Principles%20&amp;%20Practice%20of%20Medicine%2020th.2007.Ed.CHM::/www.studentconsult.com/content/bookcontent.cfm@xrefid=p0678" TargetMode="External"/><Relationship Id="rId4" Type="http://schemas.openxmlformats.org/officeDocument/2006/relationships/webSettings" Target="webSettings.xml"/><Relationship Id="rId9" Type="http://schemas.openxmlformats.org/officeDocument/2006/relationships/hyperlink" Target="mk:@MSITStore:C:\aDavidson's%20Principles%20&amp;%20Practice%20of%20Medicine%2020th.2007.Ed.CHM::/www.studentconsult.com/content/bookcontent.cfm@id=hc023192.htm" TargetMode="External"/><Relationship Id="rId14" Type="http://schemas.openxmlformats.org/officeDocument/2006/relationships/hyperlink" Target="mk:@MSITStore:C:\aDavidson's%20Principles%20&amp;%20Practice%20of%20Medicine%2020th.2007.Ed.CHM::/www.studentconsult.com/content/bookcontent.cfm@xrefid=b02305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7</Pages>
  <Words>3422</Words>
  <Characters>19510</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M.A.F.H.H</dc:creator>
  <cp:keywords/>
  <dc:description/>
  <cp:lastModifiedBy>M.A.F.H.H</cp:lastModifiedBy>
  <cp:revision>2</cp:revision>
  <dcterms:created xsi:type="dcterms:W3CDTF">2011-03-26T11:37:00Z</dcterms:created>
  <dcterms:modified xsi:type="dcterms:W3CDTF">2011-03-26T11:52:00Z</dcterms:modified>
</cp:coreProperties>
</file>