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2B4F" w:rsidRDefault="00942B4F" w:rsidP="007D02CD">
      <w:pPr>
        <w:autoSpaceDE w:val="0"/>
        <w:autoSpaceDN w:val="0"/>
        <w:bidi w:val="0"/>
        <w:adjustRightInd w:val="0"/>
        <w:spacing w:after="0" w:line="240" w:lineRule="auto"/>
        <w:jc w:val="center"/>
        <w:rPr>
          <w:rFonts w:ascii="Arial" w:hAnsi="Arial" w:cs="Arial"/>
          <w:b/>
          <w:bCs/>
          <w:sz w:val="24"/>
          <w:szCs w:val="24"/>
        </w:rPr>
      </w:pPr>
      <w:r w:rsidRPr="007D02CD">
        <w:rPr>
          <w:rFonts w:ascii="Arial" w:hAnsi="Arial" w:cs="Arial"/>
          <w:b/>
          <w:bCs/>
          <w:sz w:val="24"/>
          <w:szCs w:val="24"/>
        </w:rPr>
        <w:t>RELEASE OF DRUGS FROM</w:t>
      </w:r>
      <w:r w:rsidR="007D02CD" w:rsidRPr="007D02CD">
        <w:rPr>
          <w:rFonts w:ascii="Arial" w:hAnsi="Arial" w:cs="Arial"/>
          <w:b/>
          <w:bCs/>
          <w:sz w:val="24"/>
          <w:szCs w:val="24"/>
        </w:rPr>
        <w:t xml:space="preserve"> </w:t>
      </w:r>
      <w:r w:rsidRPr="007D02CD">
        <w:rPr>
          <w:rFonts w:ascii="Arial" w:hAnsi="Arial" w:cs="Arial"/>
          <w:b/>
          <w:bCs/>
          <w:sz w:val="24"/>
          <w:szCs w:val="24"/>
        </w:rPr>
        <w:t>SUSPENSION AND EMULSION</w:t>
      </w:r>
    </w:p>
    <w:p w:rsidR="007D02CD" w:rsidRPr="007D02CD" w:rsidRDefault="007D02CD" w:rsidP="007D02CD">
      <w:pPr>
        <w:autoSpaceDE w:val="0"/>
        <w:autoSpaceDN w:val="0"/>
        <w:bidi w:val="0"/>
        <w:adjustRightInd w:val="0"/>
        <w:spacing w:after="0" w:line="240" w:lineRule="auto"/>
        <w:jc w:val="center"/>
        <w:rPr>
          <w:rFonts w:ascii="Arial" w:hAnsi="Arial" w:cs="Arial"/>
          <w:b/>
          <w:bCs/>
          <w:sz w:val="24"/>
          <w:szCs w:val="24"/>
        </w:rPr>
      </w:pPr>
    </w:p>
    <w:p w:rsidR="00942B4F" w:rsidRDefault="00942B4F" w:rsidP="00942B4F">
      <w:pPr>
        <w:autoSpaceDE w:val="0"/>
        <w:autoSpaceDN w:val="0"/>
        <w:bidi w:val="0"/>
        <w:adjustRightInd w:val="0"/>
        <w:spacing w:after="0" w:line="240" w:lineRule="auto"/>
        <w:jc w:val="both"/>
        <w:rPr>
          <w:rFonts w:ascii="Arial" w:hAnsi="Arial" w:cs="Arial"/>
          <w:b/>
          <w:bCs/>
          <w:sz w:val="23"/>
          <w:szCs w:val="23"/>
        </w:rPr>
      </w:pPr>
      <w:r>
        <w:rPr>
          <w:rFonts w:ascii="Arial" w:hAnsi="Arial" w:cs="Arial"/>
          <w:b/>
          <w:bCs/>
          <w:sz w:val="23"/>
          <w:szCs w:val="23"/>
        </w:rPr>
        <w:t>Drug release from suspensions</w:t>
      </w:r>
    </w:p>
    <w:p w:rsidR="00942B4F" w:rsidRDefault="00942B4F" w:rsidP="00942B4F">
      <w:pPr>
        <w:autoSpaceDE w:val="0"/>
        <w:autoSpaceDN w:val="0"/>
        <w:bidi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After the oral administration of a suspension the drug, which is already in a wetted state, is presented to the gastrointestinal fluids in a finely divided form. Dissolution therefore occurs immediately. The rate of absorption of the drug into the bloodstream is therefore usually faster than for the same drug in a solid dosage form, but not as fast as that from a solution. </w:t>
      </w:r>
    </w:p>
    <w:p w:rsidR="00942B4F" w:rsidRDefault="00942B4F" w:rsidP="00942B4F">
      <w:pPr>
        <w:autoSpaceDE w:val="0"/>
        <w:autoSpaceDN w:val="0"/>
        <w:bidi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The rate of release of a drug from a suspension is also dependent upon the viscosity of the product. The more viscous the preparation, the slower is likely to be the release of the drug. Care must therefore be taken to ensure that the physical characteristics of the suspension do not change on addition to an acid medium, if this should affect the rate of release of the drug.</w:t>
      </w:r>
    </w:p>
    <w:p w:rsidR="00942B4F" w:rsidRDefault="00942B4F" w:rsidP="00942B4F">
      <w:pPr>
        <w:autoSpaceDE w:val="0"/>
        <w:autoSpaceDN w:val="0"/>
        <w:bidi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Because the rate of release of an active agent from a suspension is usually slower than the release from</w:t>
      </w:r>
    </w:p>
    <w:p w:rsidR="00942B4F" w:rsidRDefault="00942B4F" w:rsidP="00942B4F">
      <w:pPr>
        <w:autoSpaceDE w:val="0"/>
        <w:autoSpaceDN w:val="0"/>
        <w:bidi w:val="0"/>
        <w:adjustRightInd w:val="0"/>
        <w:spacing w:after="0" w:line="240" w:lineRule="auto"/>
        <w:jc w:val="both"/>
        <w:rPr>
          <w:rFonts w:ascii="Times New Roman" w:hAnsi="Times New Roman" w:cs="Times New Roman"/>
          <w:sz w:val="20"/>
          <w:szCs w:val="20"/>
        </w:rPr>
      </w:pPr>
      <w:proofErr w:type="gramStart"/>
      <w:r>
        <w:rPr>
          <w:rFonts w:ascii="Times New Roman" w:hAnsi="Times New Roman" w:cs="Times New Roman"/>
          <w:sz w:val="20"/>
          <w:szCs w:val="20"/>
        </w:rPr>
        <w:t>solution</w:t>
      </w:r>
      <w:proofErr w:type="gramEnd"/>
      <w:r>
        <w:rPr>
          <w:rFonts w:ascii="Times New Roman" w:hAnsi="Times New Roman" w:cs="Times New Roman"/>
          <w:sz w:val="20"/>
          <w:szCs w:val="20"/>
        </w:rPr>
        <w:t xml:space="preserve">, drugs are often formulated as suspensions for intramuscular, </w:t>
      </w:r>
      <w:proofErr w:type="spellStart"/>
      <w:r>
        <w:rPr>
          <w:rFonts w:ascii="Times New Roman" w:hAnsi="Times New Roman" w:cs="Times New Roman"/>
          <w:sz w:val="20"/>
          <w:szCs w:val="20"/>
        </w:rPr>
        <w:t>intraarticular</w:t>
      </w:r>
      <w:proofErr w:type="spellEnd"/>
      <w:r>
        <w:rPr>
          <w:rFonts w:ascii="Times New Roman" w:hAnsi="Times New Roman" w:cs="Times New Roman"/>
          <w:sz w:val="20"/>
          <w:szCs w:val="20"/>
        </w:rPr>
        <w:t xml:space="preserve"> or subcutaneous</w:t>
      </w:r>
    </w:p>
    <w:p w:rsidR="00942B4F" w:rsidRDefault="00942B4F" w:rsidP="00942B4F">
      <w:pPr>
        <w:autoSpaceDE w:val="0"/>
        <w:autoSpaceDN w:val="0"/>
        <w:bidi w:val="0"/>
        <w:adjustRightInd w:val="0"/>
        <w:spacing w:after="0" w:line="240" w:lineRule="auto"/>
        <w:jc w:val="both"/>
        <w:rPr>
          <w:rFonts w:ascii="Times New Roman" w:hAnsi="Times New Roman" w:cs="Times New Roman"/>
          <w:sz w:val="20"/>
          <w:szCs w:val="20"/>
        </w:rPr>
      </w:pPr>
      <w:proofErr w:type="gramStart"/>
      <w:r>
        <w:rPr>
          <w:rFonts w:ascii="Times New Roman" w:hAnsi="Times New Roman" w:cs="Times New Roman"/>
          <w:sz w:val="20"/>
          <w:szCs w:val="20"/>
        </w:rPr>
        <w:t>injection</w:t>
      </w:r>
      <w:proofErr w:type="gramEnd"/>
      <w:r>
        <w:rPr>
          <w:rFonts w:ascii="Times New Roman" w:hAnsi="Times New Roman" w:cs="Times New Roman"/>
          <w:sz w:val="20"/>
          <w:szCs w:val="20"/>
        </w:rPr>
        <w:t xml:space="preserve"> in order to prolong drug release. This is often termed depot therapy. </w:t>
      </w:r>
      <w:proofErr w:type="spellStart"/>
      <w:r>
        <w:rPr>
          <w:rFonts w:ascii="Times New Roman" w:hAnsi="Times New Roman" w:cs="Times New Roman"/>
          <w:sz w:val="20"/>
          <w:szCs w:val="20"/>
        </w:rPr>
        <w:t>Methylprednisolone</w:t>
      </w:r>
      <w:proofErr w:type="spellEnd"/>
      <w:r>
        <w:rPr>
          <w:rFonts w:ascii="Times New Roman" w:hAnsi="Times New Roman" w:cs="Times New Roman"/>
          <w:sz w:val="20"/>
          <w:szCs w:val="20"/>
        </w:rPr>
        <w:t>, for</w:t>
      </w:r>
    </w:p>
    <w:p w:rsidR="00942B4F" w:rsidRDefault="00942B4F" w:rsidP="00942B4F">
      <w:pPr>
        <w:autoSpaceDE w:val="0"/>
        <w:autoSpaceDN w:val="0"/>
        <w:bidi w:val="0"/>
        <w:adjustRightInd w:val="0"/>
        <w:spacing w:after="0" w:line="240" w:lineRule="auto"/>
        <w:jc w:val="both"/>
        <w:rPr>
          <w:rFonts w:ascii="Times New Roman" w:hAnsi="Times New Roman" w:cs="Times New Roman"/>
          <w:sz w:val="20"/>
          <w:szCs w:val="20"/>
        </w:rPr>
      </w:pPr>
      <w:proofErr w:type="gramStart"/>
      <w:r>
        <w:rPr>
          <w:rFonts w:ascii="Times New Roman" w:hAnsi="Times New Roman" w:cs="Times New Roman"/>
          <w:sz w:val="20"/>
          <w:szCs w:val="20"/>
        </w:rPr>
        <w:t>example</w:t>
      </w:r>
      <w:proofErr w:type="gramEnd"/>
      <w:r>
        <w:rPr>
          <w:rFonts w:ascii="Times New Roman" w:hAnsi="Times New Roman" w:cs="Times New Roman"/>
          <w:sz w:val="20"/>
          <w:szCs w:val="20"/>
        </w:rPr>
        <w:t xml:space="preserve">, which is available as the water-soluble sodium </w:t>
      </w:r>
      <w:proofErr w:type="spellStart"/>
      <w:r>
        <w:rPr>
          <w:rFonts w:ascii="Times New Roman" w:hAnsi="Times New Roman" w:cs="Times New Roman"/>
          <w:sz w:val="20"/>
          <w:szCs w:val="20"/>
        </w:rPr>
        <w:t>succinate</w:t>
      </w:r>
      <w:proofErr w:type="spellEnd"/>
      <w:r>
        <w:rPr>
          <w:rFonts w:ascii="Times New Roman" w:hAnsi="Times New Roman" w:cs="Times New Roman"/>
          <w:sz w:val="20"/>
          <w:szCs w:val="20"/>
        </w:rPr>
        <w:t xml:space="preserve"> salt, can be synthesized as the insoluble acetate ester. After intramuscular injection as a suspension, the rate of release is sufficiently</w:t>
      </w:r>
    </w:p>
    <w:p w:rsidR="00942B4F" w:rsidRDefault="00942B4F" w:rsidP="00942B4F">
      <w:pPr>
        <w:autoSpaceDE w:val="0"/>
        <w:autoSpaceDN w:val="0"/>
        <w:bidi w:val="0"/>
        <w:adjustRightInd w:val="0"/>
        <w:spacing w:after="0" w:line="240" w:lineRule="auto"/>
        <w:jc w:val="both"/>
        <w:rPr>
          <w:rFonts w:ascii="Times New Roman" w:hAnsi="Times New Roman" w:cs="Times New Roman"/>
          <w:sz w:val="20"/>
          <w:szCs w:val="20"/>
        </w:rPr>
      </w:pPr>
      <w:proofErr w:type="gramStart"/>
      <w:r>
        <w:rPr>
          <w:rFonts w:ascii="Times New Roman" w:hAnsi="Times New Roman" w:cs="Times New Roman"/>
          <w:sz w:val="20"/>
          <w:szCs w:val="20"/>
        </w:rPr>
        <w:t>slowed</w:t>
      </w:r>
      <w:proofErr w:type="gramEnd"/>
      <w:r>
        <w:rPr>
          <w:rFonts w:ascii="Times New Roman" w:hAnsi="Times New Roman" w:cs="Times New Roman"/>
          <w:sz w:val="20"/>
          <w:szCs w:val="20"/>
        </w:rPr>
        <w:t xml:space="preserve"> to maintain adequate blood levels for up to 14 days.</w:t>
      </w:r>
    </w:p>
    <w:p w:rsidR="00942B4F" w:rsidRDefault="00942B4F" w:rsidP="00942B4F">
      <w:pPr>
        <w:autoSpaceDE w:val="0"/>
        <w:autoSpaceDN w:val="0"/>
        <w:bidi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Release will occur even more slowly if the drug is suspended in </w:t>
      </w:r>
      <w:proofErr w:type="gramStart"/>
      <w:r>
        <w:rPr>
          <w:rFonts w:ascii="Times New Roman" w:hAnsi="Times New Roman" w:cs="Times New Roman"/>
          <w:sz w:val="20"/>
          <w:szCs w:val="20"/>
        </w:rPr>
        <w:t>an oil</w:t>
      </w:r>
      <w:proofErr w:type="gramEnd"/>
      <w:r>
        <w:rPr>
          <w:rFonts w:ascii="Times New Roman" w:hAnsi="Times New Roman" w:cs="Times New Roman"/>
          <w:sz w:val="20"/>
          <w:szCs w:val="20"/>
        </w:rPr>
        <w:t>, which after injection will remain as a globule, so providing a minimal area of contact with tissue fluid.</w:t>
      </w:r>
    </w:p>
    <w:p w:rsidR="00942B4F" w:rsidRDefault="00942B4F" w:rsidP="00942B4F">
      <w:pPr>
        <w:autoSpaceDE w:val="0"/>
        <w:autoSpaceDN w:val="0"/>
        <w:bidi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Sustained release preparations formulated as suspensions for oral use are less common, but one</w:t>
      </w:r>
    </w:p>
    <w:p w:rsidR="00942B4F" w:rsidRDefault="00942B4F" w:rsidP="00942B4F">
      <w:pPr>
        <w:autoSpaceDE w:val="0"/>
        <w:autoSpaceDN w:val="0"/>
        <w:bidi w:val="0"/>
        <w:adjustRightInd w:val="0"/>
        <w:spacing w:after="0" w:line="240" w:lineRule="auto"/>
        <w:jc w:val="both"/>
        <w:rPr>
          <w:rFonts w:ascii="Times New Roman" w:hAnsi="Times New Roman" w:cs="Times New Roman"/>
          <w:sz w:val="20"/>
          <w:szCs w:val="20"/>
        </w:rPr>
      </w:pPr>
      <w:proofErr w:type="gramStart"/>
      <w:r>
        <w:rPr>
          <w:rFonts w:ascii="Times New Roman" w:hAnsi="Times New Roman" w:cs="Times New Roman"/>
          <w:sz w:val="20"/>
          <w:szCs w:val="20"/>
        </w:rPr>
        <w:t>example</w:t>
      </w:r>
      <w:proofErr w:type="gramEnd"/>
      <w:r>
        <w:rPr>
          <w:rFonts w:ascii="Times New Roman" w:hAnsi="Times New Roman" w:cs="Times New Roman"/>
          <w:sz w:val="20"/>
          <w:szCs w:val="20"/>
        </w:rPr>
        <w:t xml:space="preserve"> is the use of the </w:t>
      </w:r>
      <w:proofErr w:type="spellStart"/>
      <w:r>
        <w:rPr>
          <w:rFonts w:ascii="Times New Roman" w:hAnsi="Times New Roman" w:cs="Times New Roman"/>
          <w:sz w:val="20"/>
          <w:szCs w:val="20"/>
        </w:rPr>
        <w:t>Pennkinetic</w:t>
      </w:r>
      <w:proofErr w:type="spellEnd"/>
      <w:r>
        <w:rPr>
          <w:rFonts w:ascii="Times New Roman" w:hAnsi="Times New Roman" w:cs="Times New Roman"/>
          <w:sz w:val="20"/>
          <w:szCs w:val="20"/>
        </w:rPr>
        <w:t xml:space="preserve"> system. This involves the </w:t>
      </w:r>
      <w:proofErr w:type="spellStart"/>
      <w:r>
        <w:rPr>
          <w:rFonts w:ascii="Times New Roman" w:hAnsi="Times New Roman" w:cs="Times New Roman"/>
          <w:sz w:val="20"/>
          <w:szCs w:val="20"/>
        </w:rPr>
        <w:t>complexation</w:t>
      </w:r>
      <w:proofErr w:type="spellEnd"/>
      <w:r>
        <w:rPr>
          <w:rFonts w:ascii="Times New Roman" w:hAnsi="Times New Roman" w:cs="Times New Roman"/>
          <w:sz w:val="20"/>
          <w:szCs w:val="20"/>
        </w:rPr>
        <w:t xml:space="preserve"> of drugs such as </w:t>
      </w:r>
      <w:proofErr w:type="spellStart"/>
      <w:r>
        <w:rPr>
          <w:rFonts w:ascii="Times New Roman" w:hAnsi="Times New Roman" w:cs="Times New Roman"/>
          <w:sz w:val="20"/>
          <w:szCs w:val="20"/>
        </w:rPr>
        <w:t>hydrocortone</w:t>
      </w:r>
      <w:proofErr w:type="spellEnd"/>
      <w:r>
        <w:rPr>
          <w:rFonts w:ascii="Times New Roman" w:hAnsi="Times New Roman" w:cs="Times New Roman"/>
          <w:sz w:val="20"/>
          <w:szCs w:val="20"/>
        </w:rPr>
        <w:t xml:space="preserve"> and </w:t>
      </w:r>
      <w:proofErr w:type="spellStart"/>
      <w:r>
        <w:rPr>
          <w:rFonts w:ascii="Times New Roman" w:hAnsi="Times New Roman" w:cs="Times New Roman"/>
          <w:sz w:val="20"/>
          <w:szCs w:val="20"/>
        </w:rPr>
        <w:t>dextromethorphan</w:t>
      </w:r>
      <w:proofErr w:type="spellEnd"/>
      <w:r>
        <w:rPr>
          <w:rFonts w:ascii="Times New Roman" w:hAnsi="Times New Roman" w:cs="Times New Roman"/>
          <w:sz w:val="20"/>
          <w:szCs w:val="20"/>
        </w:rPr>
        <w:t xml:space="preserve"> with tiny ion exchange resin particles, which are then coated with </w:t>
      </w:r>
      <w:proofErr w:type="spellStart"/>
      <w:r>
        <w:rPr>
          <w:rFonts w:ascii="Times New Roman" w:hAnsi="Times New Roman" w:cs="Times New Roman"/>
          <w:sz w:val="20"/>
          <w:szCs w:val="20"/>
        </w:rPr>
        <w:t>ethylcellulose</w:t>
      </w:r>
      <w:proofErr w:type="spellEnd"/>
      <w:r>
        <w:rPr>
          <w:rFonts w:ascii="Times New Roman" w:hAnsi="Times New Roman" w:cs="Times New Roman"/>
          <w:sz w:val="20"/>
          <w:szCs w:val="20"/>
        </w:rPr>
        <w:t>. After ingestion the drug is slowly released by exchanging with ions present in the gastrointestinal tract. One of the main difficulties in the formulation of this type of product is to ensure that ions are not present in any of its ingredients.</w:t>
      </w:r>
    </w:p>
    <w:p w:rsidR="00942B4F" w:rsidRDefault="00942B4F" w:rsidP="00942B4F">
      <w:pPr>
        <w:autoSpaceDE w:val="0"/>
        <w:autoSpaceDN w:val="0"/>
        <w:bidi w:val="0"/>
        <w:adjustRightInd w:val="0"/>
        <w:spacing w:after="0" w:line="240" w:lineRule="auto"/>
        <w:jc w:val="both"/>
        <w:rPr>
          <w:rFonts w:ascii="Arial" w:hAnsi="Arial" w:cs="Arial"/>
          <w:b/>
          <w:bCs/>
          <w:sz w:val="23"/>
          <w:szCs w:val="23"/>
        </w:rPr>
      </w:pPr>
    </w:p>
    <w:p w:rsidR="00942B4F" w:rsidRDefault="00942B4F" w:rsidP="00942B4F">
      <w:pPr>
        <w:autoSpaceDE w:val="0"/>
        <w:autoSpaceDN w:val="0"/>
        <w:bidi w:val="0"/>
        <w:adjustRightInd w:val="0"/>
        <w:spacing w:after="0" w:line="240" w:lineRule="auto"/>
        <w:jc w:val="both"/>
        <w:rPr>
          <w:rFonts w:ascii="Arial" w:hAnsi="Arial" w:cs="Arial"/>
          <w:b/>
          <w:bCs/>
          <w:sz w:val="23"/>
          <w:szCs w:val="23"/>
        </w:rPr>
      </w:pPr>
      <w:r>
        <w:rPr>
          <w:rFonts w:ascii="Arial" w:hAnsi="Arial" w:cs="Arial"/>
          <w:b/>
          <w:bCs/>
          <w:sz w:val="23"/>
          <w:szCs w:val="23"/>
        </w:rPr>
        <w:t>Drug release from emulsions</w:t>
      </w:r>
    </w:p>
    <w:p w:rsidR="00942B4F" w:rsidRDefault="00942B4F" w:rsidP="00942B4F">
      <w:pPr>
        <w:autoSpaceDE w:val="0"/>
        <w:autoSpaceDN w:val="0"/>
        <w:bidi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The main commercial use of emulsions is for the oral, rectal and topical administration of oils and </w:t>
      </w:r>
      <w:proofErr w:type="spellStart"/>
      <w:r>
        <w:rPr>
          <w:rFonts w:ascii="Times New Roman" w:hAnsi="Times New Roman" w:cs="Times New Roman"/>
          <w:sz w:val="20"/>
          <w:szCs w:val="20"/>
        </w:rPr>
        <w:t>oilsoluble</w:t>
      </w:r>
      <w:proofErr w:type="spellEnd"/>
      <w:r>
        <w:rPr>
          <w:rFonts w:ascii="Times New Roman" w:hAnsi="Times New Roman" w:cs="Times New Roman"/>
          <w:sz w:val="20"/>
          <w:szCs w:val="20"/>
        </w:rPr>
        <w:t xml:space="preserve"> drugs. Lipid emulsions are also widely used for intravenous feeding, although the choice of </w:t>
      </w:r>
      <w:proofErr w:type="spellStart"/>
      <w:r>
        <w:rPr>
          <w:rFonts w:ascii="Times New Roman" w:hAnsi="Times New Roman" w:cs="Times New Roman"/>
          <w:sz w:val="20"/>
          <w:szCs w:val="20"/>
        </w:rPr>
        <w:t>emulgent</w:t>
      </w:r>
      <w:proofErr w:type="spellEnd"/>
      <w:r>
        <w:rPr>
          <w:rFonts w:ascii="Times New Roman" w:hAnsi="Times New Roman" w:cs="Times New Roman"/>
          <w:sz w:val="20"/>
          <w:szCs w:val="20"/>
        </w:rPr>
        <w:t xml:space="preserve"> is very limited and globule size must be kept below 4 yam diameter to avoid the formation of</w:t>
      </w:r>
    </w:p>
    <w:p w:rsidR="00942B4F" w:rsidRDefault="00942B4F" w:rsidP="00942B4F">
      <w:pPr>
        <w:autoSpaceDE w:val="0"/>
        <w:autoSpaceDN w:val="0"/>
        <w:bidi w:val="0"/>
        <w:adjustRightInd w:val="0"/>
        <w:spacing w:after="0" w:line="240" w:lineRule="auto"/>
        <w:jc w:val="both"/>
        <w:rPr>
          <w:rFonts w:ascii="Times New Roman" w:hAnsi="Times New Roman" w:cs="Times New Roman"/>
          <w:sz w:val="20"/>
          <w:szCs w:val="20"/>
        </w:rPr>
      </w:pPr>
      <w:proofErr w:type="gramStart"/>
      <w:r>
        <w:rPr>
          <w:rFonts w:ascii="Times New Roman" w:hAnsi="Times New Roman" w:cs="Times New Roman"/>
          <w:sz w:val="20"/>
          <w:szCs w:val="20"/>
        </w:rPr>
        <w:t>emboli</w:t>
      </w:r>
      <w:proofErr w:type="gramEnd"/>
      <w:r>
        <w:rPr>
          <w:rFonts w:ascii="Times New Roman" w:hAnsi="Times New Roman" w:cs="Times New Roman"/>
          <w:sz w:val="20"/>
          <w:szCs w:val="20"/>
        </w:rPr>
        <w:t>. Quite often, however, the high surface area of dispersed oil globules will enhance the rate of</w:t>
      </w:r>
    </w:p>
    <w:p w:rsidR="00942B4F" w:rsidRDefault="00942B4F" w:rsidP="00942B4F">
      <w:pPr>
        <w:autoSpaceDE w:val="0"/>
        <w:autoSpaceDN w:val="0"/>
        <w:bidi w:val="0"/>
        <w:adjustRightInd w:val="0"/>
        <w:spacing w:after="0" w:line="240" w:lineRule="auto"/>
        <w:jc w:val="both"/>
        <w:rPr>
          <w:rFonts w:ascii="Times New Roman" w:hAnsi="Times New Roman" w:cs="Times New Roman"/>
          <w:sz w:val="20"/>
          <w:szCs w:val="20"/>
        </w:rPr>
      </w:pPr>
      <w:proofErr w:type="gramStart"/>
      <w:r>
        <w:rPr>
          <w:rFonts w:ascii="Times New Roman" w:hAnsi="Times New Roman" w:cs="Times New Roman"/>
          <w:sz w:val="20"/>
          <w:szCs w:val="20"/>
        </w:rPr>
        <w:t>absorption</w:t>
      </w:r>
      <w:proofErr w:type="gramEnd"/>
      <w:r>
        <w:rPr>
          <w:rFonts w:ascii="Times New Roman" w:hAnsi="Times New Roman" w:cs="Times New Roman"/>
          <w:sz w:val="20"/>
          <w:szCs w:val="20"/>
        </w:rPr>
        <w:t xml:space="preserve"> of </w:t>
      </w:r>
      <w:proofErr w:type="spellStart"/>
      <w:r>
        <w:rPr>
          <w:rFonts w:ascii="Times New Roman" w:hAnsi="Times New Roman" w:cs="Times New Roman"/>
          <w:sz w:val="20"/>
          <w:szCs w:val="20"/>
        </w:rPr>
        <w:t>lipophilic</w:t>
      </w:r>
      <w:proofErr w:type="spellEnd"/>
      <w:r>
        <w:rPr>
          <w:rFonts w:ascii="Times New Roman" w:hAnsi="Times New Roman" w:cs="Times New Roman"/>
          <w:sz w:val="20"/>
          <w:szCs w:val="20"/>
        </w:rPr>
        <w:t xml:space="preserve"> drugs.</w:t>
      </w:r>
    </w:p>
    <w:p w:rsidR="00942B4F" w:rsidRDefault="00942B4F" w:rsidP="00942B4F">
      <w:pPr>
        <w:autoSpaceDE w:val="0"/>
        <w:autoSpaceDN w:val="0"/>
        <w:bidi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The emulsion can also be used as a </w:t>
      </w:r>
      <w:proofErr w:type="spellStart"/>
      <w:r>
        <w:rPr>
          <w:rFonts w:ascii="Times New Roman" w:hAnsi="Times New Roman" w:cs="Times New Roman"/>
          <w:sz w:val="20"/>
          <w:szCs w:val="20"/>
        </w:rPr>
        <w:t>sustainedrelease</w:t>
      </w:r>
      <w:proofErr w:type="spellEnd"/>
      <w:r>
        <w:rPr>
          <w:rFonts w:ascii="Times New Roman" w:hAnsi="Times New Roman" w:cs="Times New Roman"/>
          <w:sz w:val="20"/>
          <w:szCs w:val="20"/>
        </w:rPr>
        <w:t xml:space="preserve"> dosage form. The intramuscular injection of certain water-soluble vaccines formulated as w/o emulsions can provide a slow release of the antigen and result in a greater antibody response and hence a longer-lasting immunity. Other drugs have also</w:t>
      </w:r>
    </w:p>
    <w:p w:rsidR="00942B4F" w:rsidRDefault="00942B4F" w:rsidP="00942B4F">
      <w:pPr>
        <w:autoSpaceDE w:val="0"/>
        <w:autoSpaceDN w:val="0"/>
        <w:bidi w:val="0"/>
        <w:adjustRightInd w:val="0"/>
        <w:spacing w:after="0" w:line="240" w:lineRule="auto"/>
        <w:jc w:val="both"/>
        <w:rPr>
          <w:rFonts w:ascii="Times New Roman" w:hAnsi="Times New Roman" w:cs="Times New Roman"/>
          <w:sz w:val="20"/>
          <w:szCs w:val="20"/>
        </w:rPr>
      </w:pPr>
      <w:proofErr w:type="gramStart"/>
      <w:r>
        <w:rPr>
          <w:rFonts w:ascii="Times New Roman" w:hAnsi="Times New Roman" w:cs="Times New Roman"/>
          <w:sz w:val="20"/>
          <w:szCs w:val="20"/>
        </w:rPr>
        <w:t>been</w:t>
      </w:r>
      <w:proofErr w:type="gramEnd"/>
      <w:r>
        <w:rPr>
          <w:rFonts w:ascii="Times New Roman" w:hAnsi="Times New Roman" w:cs="Times New Roman"/>
          <w:sz w:val="20"/>
          <w:szCs w:val="20"/>
        </w:rPr>
        <w:t xml:space="preserve"> shown to have this effect, the rate of release being dependent mainly upon the oil/water partition</w:t>
      </w:r>
    </w:p>
    <w:p w:rsidR="00942B4F" w:rsidRDefault="00942B4F" w:rsidP="00942B4F">
      <w:pPr>
        <w:autoSpaceDE w:val="0"/>
        <w:autoSpaceDN w:val="0"/>
        <w:bidi w:val="0"/>
        <w:adjustRightInd w:val="0"/>
        <w:spacing w:after="0" w:line="240" w:lineRule="auto"/>
        <w:jc w:val="both"/>
        <w:rPr>
          <w:rFonts w:ascii="Times New Roman" w:hAnsi="Times New Roman" w:cs="Times New Roman"/>
          <w:sz w:val="20"/>
          <w:szCs w:val="20"/>
        </w:rPr>
      </w:pPr>
      <w:proofErr w:type="gramStart"/>
      <w:r>
        <w:rPr>
          <w:rFonts w:ascii="Times New Roman" w:hAnsi="Times New Roman" w:cs="Times New Roman"/>
          <w:sz w:val="20"/>
          <w:szCs w:val="20"/>
        </w:rPr>
        <w:t>coefficient</w:t>
      </w:r>
      <w:proofErr w:type="gramEnd"/>
      <w:r>
        <w:rPr>
          <w:rFonts w:ascii="Times New Roman" w:hAnsi="Times New Roman" w:cs="Times New Roman"/>
          <w:sz w:val="20"/>
          <w:szCs w:val="20"/>
        </w:rPr>
        <w:t xml:space="preserve"> of the drug and its rate of diffusion across the oil phase.</w:t>
      </w:r>
    </w:p>
    <w:p w:rsidR="00942B4F" w:rsidRDefault="00942B4F" w:rsidP="00942B4F">
      <w:pPr>
        <w:autoSpaceDE w:val="0"/>
        <w:autoSpaceDN w:val="0"/>
        <w:bidi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It is also possible to formulate multiple emulsion systems in which an aqueous phase is dispersed in oil</w:t>
      </w:r>
    </w:p>
    <w:p w:rsidR="00942B4F" w:rsidRDefault="00942B4F" w:rsidP="00942B4F">
      <w:pPr>
        <w:autoSpaceDE w:val="0"/>
        <w:autoSpaceDN w:val="0"/>
        <w:bidi w:val="0"/>
        <w:adjustRightInd w:val="0"/>
        <w:spacing w:after="0" w:line="240" w:lineRule="auto"/>
        <w:jc w:val="both"/>
        <w:rPr>
          <w:rFonts w:ascii="Times New Roman" w:hAnsi="Times New Roman" w:cs="Times New Roman"/>
          <w:sz w:val="20"/>
          <w:szCs w:val="20"/>
        </w:rPr>
      </w:pPr>
      <w:proofErr w:type="gramStart"/>
      <w:r>
        <w:rPr>
          <w:rFonts w:ascii="Times New Roman" w:hAnsi="Times New Roman" w:cs="Times New Roman"/>
          <w:sz w:val="20"/>
          <w:szCs w:val="20"/>
        </w:rPr>
        <w:t>droplets</w:t>
      </w:r>
      <w:proofErr w:type="gramEnd"/>
      <w:r>
        <w:rPr>
          <w:rFonts w:ascii="Times New Roman" w:hAnsi="Times New Roman" w:cs="Times New Roman"/>
          <w:sz w:val="20"/>
          <w:szCs w:val="20"/>
        </w:rPr>
        <w:t xml:space="preserve">, which in turn are dispersed throughout another aqueous external phase, producing a </w:t>
      </w:r>
      <w:proofErr w:type="spellStart"/>
      <w:r>
        <w:rPr>
          <w:rFonts w:ascii="Times New Roman" w:hAnsi="Times New Roman" w:cs="Times New Roman"/>
          <w:sz w:val="20"/>
          <w:szCs w:val="20"/>
        </w:rPr>
        <w:t>waterin</w:t>
      </w:r>
      <w:proofErr w:type="spellEnd"/>
      <w:r>
        <w:rPr>
          <w:rFonts w:ascii="Times New Roman" w:hAnsi="Times New Roman" w:cs="Times New Roman"/>
          <w:sz w:val="20"/>
          <w:szCs w:val="20"/>
        </w:rPr>
        <w:t>-</w:t>
      </w:r>
    </w:p>
    <w:p w:rsidR="00942B4F" w:rsidRDefault="00942B4F" w:rsidP="00942B4F">
      <w:pPr>
        <w:autoSpaceDE w:val="0"/>
        <w:autoSpaceDN w:val="0"/>
        <w:bidi w:val="0"/>
        <w:adjustRightInd w:val="0"/>
        <w:spacing w:after="0" w:line="240" w:lineRule="auto"/>
        <w:jc w:val="both"/>
        <w:rPr>
          <w:rFonts w:ascii="Times New Roman" w:hAnsi="Times New Roman" w:cs="Times New Roman"/>
          <w:sz w:val="20"/>
          <w:szCs w:val="20"/>
        </w:rPr>
      </w:pPr>
      <w:proofErr w:type="gramStart"/>
      <w:r>
        <w:rPr>
          <w:rFonts w:ascii="Times New Roman" w:hAnsi="Times New Roman" w:cs="Times New Roman"/>
          <w:sz w:val="20"/>
          <w:szCs w:val="20"/>
        </w:rPr>
        <w:t>oil-in-water</w:t>
      </w:r>
      <w:proofErr w:type="gramEnd"/>
      <w:r>
        <w:rPr>
          <w:rFonts w:ascii="Times New Roman" w:hAnsi="Times New Roman" w:cs="Times New Roman"/>
          <w:sz w:val="20"/>
          <w:szCs w:val="20"/>
        </w:rPr>
        <w:t xml:space="preserve"> (w/o/w) emulsion. These products can also be used for the prolonged release of drugs that are incorporated into the internal aqueous phase. These products have the advantage of exhibiting a lower viscosity than their w/o counterparts and hence are easier to inject.</w:t>
      </w:r>
    </w:p>
    <w:p w:rsidR="00942B4F" w:rsidRDefault="00942B4F" w:rsidP="00942B4F">
      <w:pPr>
        <w:autoSpaceDE w:val="0"/>
        <w:autoSpaceDN w:val="0"/>
        <w:bidi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Similarly, o/w/o emulsions can be formulated and are also under investigation as potential </w:t>
      </w:r>
      <w:proofErr w:type="spellStart"/>
      <w:r>
        <w:rPr>
          <w:rFonts w:ascii="Times New Roman" w:hAnsi="Times New Roman" w:cs="Times New Roman"/>
          <w:sz w:val="20"/>
          <w:szCs w:val="20"/>
        </w:rPr>
        <w:t>sustainedrelease</w:t>
      </w:r>
      <w:proofErr w:type="spellEnd"/>
      <w:r>
        <w:rPr>
          <w:rFonts w:ascii="Times New Roman" w:hAnsi="Times New Roman" w:cs="Times New Roman"/>
          <w:sz w:val="20"/>
          <w:szCs w:val="20"/>
        </w:rPr>
        <w:t xml:space="preserve"> bases.</w:t>
      </w:r>
    </w:p>
    <w:p w:rsidR="00942B4F" w:rsidRDefault="00942B4F" w:rsidP="00942B4F">
      <w:pPr>
        <w:autoSpaceDE w:val="0"/>
        <w:autoSpaceDN w:val="0"/>
        <w:bidi w:val="0"/>
        <w:adjustRightInd w:val="0"/>
        <w:spacing w:after="0" w:line="240" w:lineRule="auto"/>
        <w:jc w:val="both"/>
        <w:rPr>
          <w:lang w:bidi="ar-IQ"/>
        </w:rPr>
      </w:pPr>
      <w:r>
        <w:rPr>
          <w:rFonts w:ascii="Times New Roman" w:hAnsi="Times New Roman" w:cs="Times New Roman"/>
          <w:sz w:val="20"/>
          <w:szCs w:val="20"/>
        </w:rPr>
        <w:t>Multiple emulsions, however, tend to be stable only for a relatively short time, although the use of polymers as alternatives to the traditional emulsifying agents may improve their physical stability</w:t>
      </w:r>
      <w:r>
        <w:rPr>
          <w:lang w:bidi="ar-IQ"/>
        </w:rPr>
        <w:t>.</w:t>
      </w:r>
    </w:p>
    <w:sectPr w:rsidR="00942B4F" w:rsidSect="00262EE3">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oofState w:spelling="clean" w:grammar="clean"/>
  <w:defaultTabStop w:val="720"/>
  <w:characterSpacingControl w:val="doNotCompress"/>
  <w:compat/>
  <w:rsids>
    <w:rsidRoot w:val="00942B4F"/>
    <w:rsid w:val="000B6694"/>
    <w:rsid w:val="00262EE3"/>
    <w:rsid w:val="007D02CD"/>
    <w:rsid w:val="00942B4F"/>
    <w:rsid w:val="00FF1D0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6694"/>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66411D-618C-4EEB-A273-E34224510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579</Words>
  <Characters>3305</Characters>
  <Application>Microsoft Office Word</Application>
  <DocSecurity>0</DocSecurity>
  <Lines>27</Lines>
  <Paragraphs>7</Paragraphs>
  <ScaleCrop>false</ScaleCrop>
  <Company>Salah Aldeen</Company>
  <LinksUpToDate>false</LinksUpToDate>
  <CharactersWithSpaces>3877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King Soft 2</dc:creator>
  <cp:lastModifiedBy>King Soft 2</cp:lastModifiedBy>
  <cp:revision>2</cp:revision>
  <dcterms:created xsi:type="dcterms:W3CDTF">2014-11-27T15:39:00Z</dcterms:created>
  <dcterms:modified xsi:type="dcterms:W3CDTF">2014-11-27T15:48:00Z</dcterms:modified>
</cp:coreProperties>
</file>